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70" w:type="dxa"/>
          <w:right w:w="70" w:type="dxa"/>
        </w:tblCellMar>
        <w:tblLook w:val="04A0" w:firstRow="1" w:lastRow="0" w:firstColumn="1" w:lastColumn="0" w:noHBand="0" w:noVBand="1"/>
      </w:tblPr>
      <w:tblGrid>
        <w:gridCol w:w="8838"/>
      </w:tblGrid>
      <w:tr w:rsidR="00AD1C99" w:rsidRPr="00AD1C99" w14:paraId="51206C8C" w14:textId="77777777" w:rsidTr="00AD1C99">
        <w:trPr>
          <w:trHeight w:val="375"/>
        </w:trPr>
        <w:tc>
          <w:tcPr>
            <w:tcW w:w="0" w:type="auto"/>
            <w:tcBorders>
              <w:top w:val="nil"/>
              <w:left w:val="nil"/>
              <w:bottom w:val="nil"/>
              <w:right w:val="nil"/>
            </w:tcBorders>
            <w:shd w:val="clear" w:color="auto" w:fill="auto"/>
            <w:noWrap/>
            <w:vAlign w:val="bottom"/>
            <w:hideMark/>
          </w:tcPr>
          <w:p w14:paraId="5FD0DC6D" w14:textId="4E04F62A" w:rsidR="00AD1C99" w:rsidRPr="00AD1C99" w:rsidRDefault="00AD1C99" w:rsidP="00AD1C99">
            <w:pPr>
              <w:spacing w:after="0" w:line="240" w:lineRule="auto"/>
              <w:rPr>
                <w:rFonts w:ascii="Calibri" w:eastAsia="Times New Roman" w:hAnsi="Calibri" w:cs="Calibri"/>
                <w:color w:val="000000"/>
                <w:lang w:eastAsia="es-MX"/>
              </w:rPr>
            </w:pPr>
            <w:r w:rsidRPr="00AD1C99">
              <w:rPr>
                <w:rFonts w:ascii="Calibri" w:eastAsia="Times New Roman" w:hAnsi="Calibri" w:cs="Calibri"/>
                <w:noProof/>
                <w:color w:val="000000"/>
                <w:lang w:eastAsia="es-MX"/>
              </w:rPr>
              <w:drawing>
                <wp:anchor distT="0" distB="0" distL="114300" distR="114300" simplePos="0" relativeHeight="251658240" behindDoc="0" locked="0" layoutInCell="1" allowOverlap="1" wp14:anchorId="2C915E06" wp14:editId="33674AA2">
                  <wp:simplePos x="0" y="0"/>
                  <wp:positionH relativeFrom="column">
                    <wp:posOffset>170180</wp:posOffset>
                  </wp:positionH>
                  <wp:positionV relativeFrom="paragraph">
                    <wp:posOffset>-80645</wp:posOffset>
                  </wp:positionV>
                  <wp:extent cx="752475" cy="466725"/>
                  <wp:effectExtent l="0" t="0" r="9525" b="9525"/>
                  <wp:wrapNone/>
                  <wp:docPr id="4" name="Imagen 4">
                    <a:extLst xmlns:a="http://schemas.openxmlformats.org/drawingml/2006/main">
                      <a:ext uri="{FF2B5EF4-FFF2-40B4-BE49-F238E27FC236}">
                        <a16:creationId xmlns:a16="http://schemas.microsoft.com/office/drawing/2014/main" id="{48921B7D-8787-432B-ADE1-660C954B6F1F}"/>
                      </a:ext>
                    </a:extLst>
                  </wp:docPr>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48921B7D-8787-432B-ADE1-660C954B6F1F}"/>
                              </a:ext>
                            </a:extLst>
                          </pic:cNvPr>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2475" cy="4667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8698"/>
            </w:tblGrid>
            <w:tr w:rsidR="00AD1C99" w:rsidRPr="00AD1C99" w14:paraId="5E30E5CB" w14:textId="77777777">
              <w:trPr>
                <w:trHeight w:val="375"/>
                <w:tblCellSpacing w:w="0" w:type="dxa"/>
              </w:trPr>
              <w:tc>
                <w:tcPr>
                  <w:tcW w:w="14880" w:type="dxa"/>
                  <w:tcBorders>
                    <w:top w:val="nil"/>
                    <w:left w:val="nil"/>
                    <w:bottom w:val="nil"/>
                    <w:right w:val="nil"/>
                  </w:tcBorders>
                  <w:shd w:val="clear" w:color="auto" w:fill="auto"/>
                  <w:noWrap/>
                  <w:vAlign w:val="bottom"/>
                  <w:hideMark/>
                </w:tcPr>
                <w:p w14:paraId="6AA5300A" w14:textId="76FC3818" w:rsidR="00AD1C99" w:rsidRPr="00AD1C99" w:rsidRDefault="00AD1C99" w:rsidP="00AD1C99">
                  <w:pPr>
                    <w:spacing w:after="0" w:line="240" w:lineRule="auto"/>
                    <w:jc w:val="center"/>
                    <w:rPr>
                      <w:rFonts w:ascii="Calibri" w:eastAsia="Times New Roman" w:hAnsi="Calibri" w:cs="Calibri"/>
                      <w:b/>
                      <w:bCs/>
                      <w:color w:val="000000"/>
                      <w:sz w:val="28"/>
                      <w:szCs w:val="28"/>
                      <w:lang w:eastAsia="es-MX"/>
                    </w:rPr>
                  </w:pPr>
                  <w:r w:rsidRPr="00AD1C99">
                    <w:rPr>
                      <w:rFonts w:ascii="Calibri" w:eastAsia="Times New Roman" w:hAnsi="Calibri" w:cs="Calibri"/>
                      <w:b/>
                      <w:bCs/>
                      <w:color w:val="000000"/>
                      <w:sz w:val="28"/>
                      <w:szCs w:val="28"/>
                      <w:lang w:eastAsia="es-MX"/>
                    </w:rPr>
                    <w:t xml:space="preserve">1. DEFINICIÓN </w:t>
                  </w:r>
                  <w:r w:rsidR="00D3664C">
                    <w:rPr>
                      <w:rFonts w:ascii="Calibri" w:eastAsia="Times New Roman" w:hAnsi="Calibri" w:cs="Calibri"/>
                      <w:b/>
                      <w:bCs/>
                      <w:color w:val="000000"/>
                      <w:sz w:val="28"/>
                      <w:szCs w:val="28"/>
                      <w:lang w:eastAsia="es-MX"/>
                    </w:rPr>
                    <w:t xml:space="preserve">Y DIAGNÓSTICO </w:t>
                  </w:r>
                  <w:r w:rsidRPr="00AD1C99">
                    <w:rPr>
                      <w:rFonts w:ascii="Calibri" w:eastAsia="Times New Roman" w:hAnsi="Calibri" w:cs="Calibri"/>
                      <w:b/>
                      <w:bCs/>
                      <w:color w:val="000000"/>
                      <w:sz w:val="28"/>
                      <w:szCs w:val="28"/>
                      <w:lang w:eastAsia="es-MX"/>
                    </w:rPr>
                    <w:t>DEL PROBLEMA</w:t>
                  </w:r>
                </w:p>
              </w:tc>
            </w:tr>
          </w:tbl>
          <w:p w14:paraId="14EC87BF" w14:textId="77777777" w:rsidR="00AD1C99" w:rsidRPr="00AD1C99" w:rsidRDefault="00AD1C99" w:rsidP="00AD1C99">
            <w:pPr>
              <w:spacing w:after="0" w:line="240" w:lineRule="auto"/>
              <w:rPr>
                <w:rFonts w:ascii="Calibri" w:eastAsia="Times New Roman" w:hAnsi="Calibri" w:cs="Calibri"/>
                <w:color w:val="000000"/>
                <w:lang w:eastAsia="es-MX"/>
              </w:rPr>
            </w:pPr>
          </w:p>
        </w:tc>
      </w:tr>
      <w:tr w:rsidR="00AD1C99" w:rsidRPr="00AD1C99" w14:paraId="34567AF7" w14:textId="77777777" w:rsidTr="00AD1C99">
        <w:trPr>
          <w:trHeight w:val="375"/>
        </w:trPr>
        <w:tc>
          <w:tcPr>
            <w:tcW w:w="0" w:type="auto"/>
            <w:tcBorders>
              <w:top w:val="nil"/>
              <w:left w:val="nil"/>
              <w:bottom w:val="nil"/>
              <w:right w:val="nil"/>
            </w:tcBorders>
            <w:shd w:val="clear" w:color="auto" w:fill="auto"/>
            <w:noWrap/>
            <w:vAlign w:val="bottom"/>
            <w:hideMark/>
          </w:tcPr>
          <w:p w14:paraId="63F11F9B" w14:textId="77777777" w:rsidR="00AD1C99" w:rsidRPr="00AD1C99" w:rsidRDefault="00AD1C99" w:rsidP="00AD1C99">
            <w:pPr>
              <w:spacing w:after="0" w:line="240" w:lineRule="auto"/>
              <w:jc w:val="center"/>
              <w:rPr>
                <w:rFonts w:ascii="Calibri" w:eastAsia="Times New Roman" w:hAnsi="Calibri" w:cs="Calibri"/>
                <w:b/>
                <w:bCs/>
                <w:color w:val="000000"/>
                <w:sz w:val="28"/>
                <w:szCs w:val="28"/>
                <w:lang w:eastAsia="es-MX"/>
              </w:rPr>
            </w:pPr>
            <w:r w:rsidRPr="00AD1C99">
              <w:rPr>
                <w:rFonts w:ascii="Calibri" w:eastAsia="Times New Roman" w:hAnsi="Calibri" w:cs="Calibri"/>
                <w:b/>
                <w:bCs/>
                <w:color w:val="000000"/>
                <w:sz w:val="28"/>
                <w:szCs w:val="28"/>
                <w:lang w:eastAsia="es-MX"/>
              </w:rPr>
              <w:t>COMISIÓN ESTATAL DE LOS DERECHOS HUMANOS DE SINALOA</w:t>
            </w:r>
          </w:p>
        </w:tc>
      </w:tr>
    </w:tbl>
    <w:p w14:paraId="207BA46C" w14:textId="77777777" w:rsidR="00AD1C99" w:rsidRDefault="00AD1C99"/>
    <w:tbl>
      <w:tblPr>
        <w:tblW w:w="0" w:type="auto"/>
        <w:tblInd w:w="-10" w:type="dxa"/>
        <w:tblCellMar>
          <w:left w:w="70" w:type="dxa"/>
          <w:right w:w="70" w:type="dxa"/>
        </w:tblCellMar>
        <w:tblLook w:val="04A0" w:firstRow="1" w:lastRow="0" w:firstColumn="1" w:lastColumn="0" w:noHBand="0" w:noVBand="1"/>
      </w:tblPr>
      <w:tblGrid>
        <w:gridCol w:w="2410"/>
        <w:gridCol w:w="5206"/>
        <w:gridCol w:w="146"/>
        <w:gridCol w:w="957"/>
      </w:tblGrid>
      <w:tr w:rsidR="00AD1C99" w:rsidRPr="00AD1C99" w14:paraId="20D2A602" w14:textId="77777777" w:rsidTr="00CB1D37">
        <w:trPr>
          <w:trHeight w:val="255"/>
        </w:trPr>
        <w:tc>
          <w:tcPr>
            <w:tcW w:w="8289" w:type="dxa"/>
            <w:gridSpan w:val="4"/>
            <w:tcBorders>
              <w:top w:val="single" w:sz="8" w:space="0" w:color="auto"/>
              <w:left w:val="single" w:sz="8" w:space="0" w:color="auto"/>
              <w:bottom w:val="single" w:sz="4" w:space="0" w:color="auto"/>
              <w:right w:val="single" w:sz="8" w:space="0" w:color="000000"/>
            </w:tcBorders>
            <w:shd w:val="clear" w:color="000000" w:fill="D9D9D9"/>
            <w:noWrap/>
            <w:vAlign w:val="center"/>
            <w:hideMark/>
          </w:tcPr>
          <w:p w14:paraId="51D98510" w14:textId="77777777" w:rsidR="00AD1C99" w:rsidRPr="00AD1C99" w:rsidRDefault="00AD1C99" w:rsidP="00AD1C99">
            <w:pPr>
              <w:spacing w:after="0" w:line="240" w:lineRule="auto"/>
              <w:jc w:val="center"/>
              <w:rPr>
                <w:rFonts w:ascii="Calibri" w:eastAsia="Times New Roman" w:hAnsi="Calibri" w:cs="Calibri"/>
                <w:b/>
                <w:bCs/>
                <w:color w:val="000000"/>
                <w:sz w:val="20"/>
                <w:szCs w:val="20"/>
                <w:lang w:eastAsia="es-MX"/>
              </w:rPr>
            </w:pPr>
            <w:r w:rsidRPr="00AD1C99">
              <w:rPr>
                <w:rFonts w:ascii="Calibri" w:eastAsia="Times New Roman" w:hAnsi="Calibri" w:cs="Calibri"/>
                <w:b/>
                <w:bCs/>
                <w:color w:val="000000"/>
                <w:sz w:val="20"/>
                <w:szCs w:val="20"/>
                <w:lang w:eastAsia="es-MX"/>
              </w:rPr>
              <w:t>DENOMINACIÓN DEL PROGRAMA</w:t>
            </w:r>
          </w:p>
        </w:tc>
      </w:tr>
      <w:tr w:rsidR="00D922C4" w:rsidRPr="00AD1C99" w14:paraId="34E0FFF2" w14:textId="77777777" w:rsidTr="00CB1D37">
        <w:trPr>
          <w:trHeight w:val="255"/>
        </w:trPr>
        <w:tc>
          <w:tcPr>
            <w:tcW w:w="2410" w:type="dxa"/>
            <w:tcBorders>
              <w:top w:val="nil"/>
              <w:left w:val="single" w:sz="8" w:space="0" w:color="auto"/>
              <w:bottom w:val="nil"/>
              <w:right w:val="nil"/>
            </w:tcBorders>
            <w:shd w:val="clear" w:color="auto" w:fill="auto"/>
            <w:noWrap/>
            <w:vAlign w:val="center"/>
            <w:hideMark/>
          </w:tcPr>
          <w:p w14:paraId="4C37637B" w14:textId="77777777" w:rsidR="00AD1C99" w:rsidRPr="00AD1C99" w:rsidRDefault="00AD1C99" w:rsidP="00AD1C99">
            <w:pPr>
              <w:spacing w:after="0" w:line="240" w:lineRule="auto"/>
              <w:rPr>
                <w:rFonts w:ascii="Calibri" w:eastAsia="Times New Roman" w:hAnsi="Calibri" w:cs="Calibri"/>
                <w:b/>
                <w:bCs/>
                <w:color w:val="000000"/>
                <w:sz w:val="20"/>
                <w:szCs w:val="20"/>
                <w:lang w:eastAsia="es-MX"/>
              </w:rPr>
            </w:pPr>
            <w:r w:rsidRPr="00AD1C99">
              <w:rPr>
                <w:rFonts w:ascii="Calibri" w:eastAsia="Times New Roman" w:hAnsi="Calibri" w:cs="Calibri"/>
                <w:b/>
                <w:bCs/>
                <w:color w:val="000000"/>
                <w:sz w:val="20"/>
                <w:szCs w:val="20"/>
                <w:lang w:eastAsia="es-MX"/>
              </w:rPr>
              <w:t>Clasificación del Programa:</w:t>
            </w:r>
          </w:p>
        </w:tc>
        <w:tc>
          <w:tcPr>
            <w:tcW w:w="0" w:type="auto"/>
            <w:tcBorders>
              <w:top w:val="nil"/>
              <w:left w:val="nil"/>
              <w:bottom w:val="nil"/>
              <w:right w:val="nil"/>
            </w:tcBorders>
            <w:shd w:val="clear" w:color="auto" w:fill="auto"/>
            <w:noWrap/>
            <w:vAlign w:val="center"/>
            <w:hideMark/>
          </w:tcPr>
          <w:p w14:paraId="03F04DD7" w14:textId="3CDBFD1C" w:rsidR="00AD1C99" w:rsidRPr="00AD1C99" w:rsidRDefault="00D922C4" w:rsidP="00CB1D37">
            <w:pPr>
              <w:spacing w:after="0" w:line="240" w:lineRule="auto"/>
              <w:jc w:val="both"/>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P</w:t>
            </w:r>
            <w:r w:rsidR="00AD1C99" w:rsidRPr="00AD1C99">
              <w:rPr>
                <w:rFonts w:ascii="Calibri" w:eastAsia="Times New Roman" w:hAnsi="Calibri" w:cs="Calibri"/>
                <w:color w:val="000000"/>
                <w:sz w:val="20"/>
                <w:szCs w:val="20"/>
                <w:lang w:eastAsia="es-MX"/>
              </w:rPr>
              <w:t xml:space="preserve"> </w:t>
            </w:r>
            <w:r w:rsidR="00CB1D37">
              <w:rPr>
                <w:rFonts w:ascii="Calibri" w:eastAsia="Times New Roman" w:hAnsi="Calibri" w:cs="Calibri"/>
                <w:color w:val="000000"/>
                <w:sz w:val="20"/>
                <w:szCs w:val="20"/>
                <w:lang w:eastAsia="es-MX"/>
              </w:rPr>
              <w:t>–</w:t>
            </w:r>
            <w:r w:rsidR="00AD1C99" w:rsidRPr="00AD1C99">
              <w:rPr>
                <w:rFonts w:ascii="Calibri" w:eastAsia="Times New Roman" w:hAnsi="Calibri" w:cs="Calibri"/>
                <w:color w:val="000000"/>
                <w:sz w:val="20"/>
                <w:szCs w:val="20"/>
                <w:lang w:eastAsia="es-MX"/>
              </w:rPr>
              <w:t xml:space="preserve"> </w:t>
            </w:r>
            <w:r>
              <w:rPr>
                <w:rFonts w:ascii="Calibri" w:eastAsia="Times New Roman" w:hAnsi="Calibri" w:cs="Calibri"/>
                <w:color w:val="000000"/>
                <w:sz w:val="20"/>
                <w:szCs w:val="20"/>
                <w:lang w:eastAsia="es-MX"/>
              </w:rPr>
              <w:t>Planeación, seguimiento y evaluación de políticas públicas</w:t>
            </w:r>
            <w:r w:rsidR="00CB1D37">
              <w:rPr>
                <w:rFonts w:ascii="Calibri" w:eastAsia="Times New Roman" w:hAnsi="Calibri" w:cs="Calibri"/>
                <w:color w:val="000000"/>
                <w:sz w:val="20"/>
                <w:szCs w:val="20"/>
                <w:lang w:eastAsia="es-MX"/>
              </w:rPr>
              <w:t xml:space="preserve">.                          </w:t>
            </w:r>
          </w:p>
        </w:tc>
        <w:tc>
          <w:tcPr>
            <w:tcW w:w="0" w:type="auto"/>
            <w:tcBorders>
              <w:top w:val="nil"/>
              <w:left w:val="nil"/>
              <w:bottom w:val="nil"/>
              <w:right w:val="nil"/>
            </w:tcBorders>
            <w:shd w:val="clear" w:color="auto" w:fill="auto"/>
            <w:noWrap/>
            <w:vAlign w:val="center"/>
            <w:hideMark/>
          </w:tcPr>
          <w:p w14:paraId="34E6D0A7" w14:textId="77777777" w:rsidR="00AD1C99" w:rsidRPr="00AD1C99" w:rsidRDefault="00AD1C99" w:rsidP="00AD1C99">
            <w:pPr>
              <w:spacing w:after="0" w:line="240" w:lineRule="auto"/>
              <w:rPr>
                <w:rFonts w:ascii="Calibri" w:eastAsia="Times New Roman" w:hAnsi="Calibri" w:cs="Calibri"/>
                <w:color w:val="000000"/>
                <w:sz w:val="20"/>
                <w:szCs w:val="20"/>
                <w:lang w:eastAsia="es-MX"/>
              </w:rPr>
            </w:pPr>
          </w:p>
        </w:tc>
        <w:tc>
          <w:tcPr>
            <w:tcW w:w="957" w:type="dxa"/>
            <w:tcBorders>
              <w:top w:val="nil"/>
              <w:left w:val="nil"/>
              <w:bottom w:val="nil"/>
              <w:right w:val="single" w:sz="8" w:space="0" w:color="auto"/>
            </w:tcBorders>
            <w:shd w:val="clear" w:color="auto" w:fill="auto"/>
            <w:noWrap/>
            <w:vAlign w:val="center"/>
            <w:hideMark/>
          </w:tcPr>
          <w:p w14:paraId="15DF5C34" w14:textId="77777777" w:rsidR="00AD1C99" w:rsidRPr="00AD1C99" w:rsidRDefault="00AD1C99" w:rsidP="00AD1C99">
            <w:pPr>
              <w:spacing w:after="0" w:line="240" w:lineRule="auto"/>
              <w:jc w:val="center"/>
              <w:rPr>
                <w:rFonts w:ascii="Calibri" w:eastAsia="Times New Roman" w:hAnsi="Calibri" w:cs="Calibri"/>
                <w:b/>
                <w:bCs/>
                <w:color w:val="000000"/>
                <w:sz w:val="20"/>
                <w:szCs w:val="20"/>
                <w:lang w:eastAsia="es-MX"/>
              </w:rPr>
            </w:pPr>
            <w:r w:rsidRPr="00AD1C99">
              <w:rPr>
                <w:rFonts w:ascii="Calibri" w:eastAsia="Times New Roman" w:hAnsi="Calibri" w:cs="Calibri"/>
                <w:b/>
                <w:bCs/>
                <w:color w:val="000000"/>
                <w:sz w:val="20"/>
                <w:szCs w:val="20"/>
                <w:lang w:eastAsia="es-MX"/>
              </w:rPr>
              <w:t> </w:t>
            </w:r>
          </w:p>
        </w:tc>
      </w:tr>
      <w:tr w:rsidR="00D922C4" w:rsidRPr="00AD1C99" w14:paraId="09F1C1B7" w14:textId="77777777" w:rsidTr="00CB1D37">
        <w:trPr>
          <w:trHeight w:val="270"/>
        </w:trPr>
        <w:tc>
          <w:tcPr>
            <w:tcW w:w="2410" w:type="dxa"/>
            <w:tcBorders>
              <w:top w:val="single" w:sz="4" w:space="0" w:color="auto"/>
              <w:left w:val="single" w:sz="8" w:space="0" w:color="auto"/>
              <w:bottom w:val="single" w:sz="8" w:space="0" w:color="auto"/>
              <w:right w:val="nil"/>
            </w:tcBorders>
            <w:shd w:val="clear" w:color="auto" w:fill="auto"/>
            <w:noWrap/>
            <w:vAlign w:val="center"/>
            <w:hideMark/>
          </w:tcPr>
          <w:p w14:paraId="36C7C493" w14:textId="77777777" w:rsidR="00AD1C99" w:rsidRPr="00AD1C99" w:rsidRDefault="00AD1C99" w:rsidP="00AD1C99">
            <w:pPr>
              <w:spacing w:after="0" w:line="240" w:lineRule="auto"/>
              <w:rPr>
                <w:rFonts w:ascii="Calibri" w:eastAsia="Times New Roman" w:hAnsi="Calibri" w:cs="Calibri"/>
                <w:b/>
                <w:bCs/>
                <w:color w:val="000000"/>
                <w:sz w:val="20"/>
                <w:szCs w:val="20"/>
                <w:lang w:eastAsia="es-MX"/>
              </w:rPr>
            </w:pPr>
            <w:r w:rsidRPr="00AD1C99">
              <w:rPr>
                <w:rFonts w:ascii="Calibri" w:eastAsia="Times New Roman" w:hAnsi="Calibri" w:cs="Calibri"/>
                <w:b/>
                <w:bCs/>
                <w:color w:val="000000"/>
                <w:sz w:val="20"/>
                <w:szCs w:val="20"/>
                <w:lang w:eastAsia="es-MX"/>
              </w:rPr>
              <w:t>Nombre:</w:t>
            </w:r>
          </w:p>
        </w:tc>
        <w:tc>
          <w:tcPr>
            <w:tcW w:w="0" w:type="auto"/>
            <w:gridSpan w:val="2"/>
            <w:tcBorders>
              <w:top w:val="single" w:sz="4" w:space="0" w:color="auto"/>
              <w:left w:val="nil"/>
              <w:bottom w:val="single" w:sz="8" w:space="0" w:color="auto"/>
              <w:right w:val="nil"/>
            </w:tcBorders>
            <w:shd w:val="clear" w:color="auto" w:fill="auto"/>
            <w:noWrap/>
            <w:vAlign w:val="center"/>
            <w:hideMark/>
          </w:tcPr>
          <w:p w14:paraId="28CD1731" w14:textId="77777777" w:rsidR="00AD1C99" w:rsidRPr="00AD1C99" w:rsidRDefault="00AD1C99" w:rsidP="00CB1D37">
            <w:pPr>
              <w:spacing w:after="0" w:line="240" w:lineRule="auto"/>
              <w:jc w:val="both"/>
              <w:rPr>
                <w:rFonts w:ascii="Calibri" w:eastAsia="Times New Roman" w:hAnsi="Calibri" w:cs="Calibri"/>
                <w:b/>
                <w:bCs/>
                <w:color w:val="000000"/>
                <w:sz w:val="20"/>
                <w:szCs w:val="20"/>
                <w:lang w:eastAsia="es-MX"/>
              </w:rPr>
            </w:pPr>
            <w:r w:rsidRPr="00AD1C99">
              <w:rPr>
                <w:rFonts w:ascii="Calibri" w:eastAsia="Times New Roman" w:hAnsi="Calibri" w:cs="Calibri"/>
                <w:b/>
                <w:bCs/>
                <w:color w:val="000000"/>
                <w:sz w:val="20"/>
                <w:szCs w:val="20"/>
                <w:lang w:eastAsia="es-MX"/>
              </w:rPr>
              <w:t>Política de Protección y Promoción de los Derechos Humanos</w:t>
            </w:r>
          </w:p>
        </w:tc>
        <w:tc>
          <w:tcPr>
            <w:tcW w:w="957" w:type="dxa"/>
            <w:tcBorders>
              <w:top w:val="single" w:sz="4" w:space="0" w:color="auto"/>
              <w:left w:val="nil"/>
              <w:bottom w:val="single" w:sz="8" w:space="0" w:color="auto"/>
              <w:right w:val="single" w:sz="8" w:space="0" w:color="auto"/>
            </w:tcBorders>
            <w:shd w:val="clear" w:color="auto" w:fill="auto"/>
            <w:noWrap/>
            <w:vAlign w:val="center"/>
            <w:hideMark/>
          </w:tcPr>
          <w:p w14:paraId="5EFF79D5" w14:textId="77777777" w:rsidR="00AD1C99" w:rsidRPr="00AD1C99" w:rsidRDefault="00AD1C99" w:rsidP="00AD1C99">
            <w:pPr>
              <w:spacing w:after="0" w:line="240" w:lineRule="auto"/>
              <w:rPr>
                <w:rFonts w:ascii="Calibri" w:eastAsia="Times New Roman" w:hAnsi="Calibri" w:cs="Calibri"/>
                <w:b/>
                <w:bCs/>
                <w:color w:val="000000"/>
                <w:sz w:val="20"/>
                <w:szCs w:val="20"/>
                <w:lang w:eastAsia="es-MX"/>
              </w:rPr>
            </w:pPr>
            <w:r w:rsidRPr="00AD1C99">
              <w:rPr>
                <w:rFonts w:ascii="Calibri" w:eastAsia="Times New Roman" w:hAnsi="Calibri" w:cs="Calibri"/>
                <w:b/>
                <w:bCs/>
                <w:color w:val="000000"/>
                <w:sz w:val="20"/>
                <w:szCs w:val="20"/>
                <w:lang w:eastAsia="es-MX"/>
              </w:rPr>
              <w:t> </w:t>
            </w:r>
          </w:p>
        </w:tc>
      </w:tr>
    </w:tbl>
    <w:p w14:paraId="425F746D" w14:textId="587113D9" w:rsidR="00AD1C99" w:rsidRDefault="00AD1C99"/>
    <w:p w14:paraId="60070502" w14:textId="77777777" w:rsidR="00333FDC" w:rsidRPr="00333FDC" w:rsidRDefault="00333FDC" w:rsidP="00333FDC">
      <w:pPr>
        <w:jc w:val="both"/>
        <w:rPr>
          <w:rFonts w:cstheme="minorHAnsi"/>
          <w:sz w:val="20"/>
          <w:szCs w:val="20"/>
        </w:rPr>
      </w:pPr>
      <w:r w:rsidRPr="00333FDC">
        <w:rPr>
          <w:rFonts w:cstheme="minorHAnsi"/>
          <w:sz w:val="20"/>
          <w:szCs w:val="20"/>
        </w:rPr>
        <w:t>La primera etapa de la MML es la definición del problema, mediante la cual se busca:</w:t>
      </w:r>
    </w:p>
    <w:p w14:paraId="08581457" w14:textId="77777777" w:rsidR="00333FDC" w:rsidRPr="00333FDC" w:rsidRDefault="00333FDC" w:rsidP="00333FDC">
      <w:pPr>
        <w:pStyle w:val="Prrafodelista"/>
        <w:numPr>
          <w:ilvl w:val="0"/>
          <w:numId w:val="2"/>
        </w:numPr>
        <w:jc w:val="both"/>
        <w:rPr>
          <w:rFonts w:cstheme="minorHAnsi"/>
          <w:sz w:val="20"/>
          <w:szCs w:val="20"/>
        </w:rPr>
      </w:pPr>
      <w:r w:rsidRPr="00333FDC">
        <w:rPr>
          <w:rFonts w:cstheme="minorHAnsi"/>
          <w:b/>
          <w:bCs/>
          <w:sz w:val="20"/>
          <w:szCs w:val="20"/>
        </w:rPr>
        <w:t>Identificar correctamente el problema público que se busca resolver:</w:t>
      </w:r>
      <w:r w:rsidRPr="00333FDC">
        <w:rPr>
          <w:rFonts w:cstheme="minorHAnsi"/>
          <w:sz w:val="20"/>
          <w:szCs w:val="20"/>
        </w:rPr>
        <w:t xml:space="preserve"> consiste en establecer la necesidad a satisfacer, el problema a solventar, el problema potencial, la oportunidad por aprovechar y/o la amenaza por superar.</w:t>
      </w:r>
    </w:p>
    <w:p w14:paraId="361115B0" w14:textId="77777777" w:rsidR="00333FDC" w:rsidRPr="00333FDC" w:rsidRDefault="00333FDC" w:rsidP="00333FDC">
      <w:pPr>
        <w:pStyle w:val="Prrafodelista"/>
        <w:numPr>
          <w:ilvl w:val="0"/>
          <w:numId w:val="2"/>
        </w:numPr>
        <w:jc w:val="both"/>
        <w:rPr>
          <w:rFonts w:cstheme="minorHAnsi"/>
          <w:sz w:val="20"/>
          <w:szCs w:val="20"/>
        </w:rPr>
      </w:pPr>
      <w:r w:rsidRPr="00333FDC">
        <w:rPr>
          <w:rFonts w:cstheme="minorHAnsi"/>
          <w:b/>
          <w:bCs/>
          <w:sz w:val="20"/>
          <w:szCs w:val="20"/>
        </w:rPr>
        <w:t>Elaborar un diagnóstico del problema público:</w:t>
      </w:r>
      <w:r w:rsidRPr="00333FDC">
        <w:rPr>
          <w:rFonts w:cstheme="minorHAnsi"/>
          <w:sz w:val="20"/>
          <w:szCs w:val="20"/>
        </w:rPr>
        <w:t xml:space="preserve"> consiste en determinar la magnitud y relevancia del problema identificado.</w:t>
      </w:r>
    </w:p>
    <w:p w14:paraId="4879D0BC" w14:textId="77777777" w:rsidR="00333FDC" w:rsidRPr="00333FDC" w:rsidRDefault="00333FDC" w:rsidP="00333FDC">
      <w:pPr>
        <w:pStyle w:val="Prrafodelista"/>
        <w:numPr>
          <w:ilvl w:val="0"/>
          <w:numId w:val="2"/>
        </w:numPr>
        <w:jc w:val="both"/>
        <w:rPr>
          <w:rFonts w:cstheme="minorHAnsi"/>
          <w:sz w:val="20"/>
          <w:szCs w:val="20"/>
        </w:rPr>
      </w:pPr>
      <w:r w:rsidRPr="00333FDC">
        <w:rPr>
          <w:rFonts w:cstheme="minorHAnsi"/>
          <w:b/>
          <w:bCs/>
          <w:sz w:val="20"/>
          <w:szCs w:val="20"/>
        </w:rPr>
        <w:t>Determinar el alcance del Pp:</w:t>
      </w:r>
      <w:r w:rsidRPr="00333FDC">
        <w:rPr>
          <w:rFonts w:cstheme="minorHAnsi"/>
          <w:sz w:val="20"/>
          <w:szCs w:val="20"/>
        </w:rPr>
        <w:t xml:space="preserve"> consiste en delimitar la población que enfrenta la problemática identificada y que pretende atender el Pp o proyecto. Para esto se deberá elaborar un análisis de la población de referencia, potencial, objetivo y atendida (en el Cuadro 1, se presentan las definiciones de éstas).</w:t>
      </w:r>
    </w:p>
    <w:tbl>
      <w:tblPr>
        <w:tblStyle w:val="Tablaconcuadrcula"/>
        <w:tblW w:w="0" w:type="auto"/>
        <w:tblLook w:val="04A0" w:firstRow="1" w:lastRow="0" w:firstColumn="1" w:lastColumn="0" w:noHBand="0" w:noVBand="1"/>
      </w:tblPr>
      <w:tblGrid>
        <w:gridCol w:w="2348"/>
        <w:gridCol w:w="2266"/>
        <w:gridCol w:w="2266"/>
        <w:gridCol w:w="1948"/>
      </w:tblGrid>
      <w:tr w:rsidR="00333FDC" w:rsidRPr="00333FDC" w14:paraId="18A3D0C6" w14:textId="77777777" w:rsidTr="00233699">
        <w:tc>
          <w:tcPr>
            <w:tcW w:w="8828" w:type="dxa"/>
            <w:gridSpan w:val="4"/>
            <w:tcBorders>
              <w:top w:val="nil"/>
              <w:left w:val="nil"/>
              <w:bottom w:val="single" w:sz="4" w:space="0" w:color="auto"/>
              <w:right w:val="nil"/>
            </w:tcBorders>
            <w:vAlign w:val="center"/>
          </w:tcPr>
          <w:p w14:paraId="0449A74C" w14:textId="77777777" w:rsidR="00333FDC" w:rsidRPr="00333FDC" w:rsidRDefault="00333FDC" w:rsidP="00233699">
            <w:pPr>
              <w:jc w:val="center"/>
              <w:rPr>
                <w:rFonts w:cstheme="minorHAnsi"/>
                <w:b/>
                <w:bCs/>
                <w:sz w:val="20"/>
                <w:szCs w:val="20"/>
              </w:rPr>
            </w:pPr>
            <w:r w:rsidRPr="00333FDC">
              <w:rPr>
                <w:rFonts w:cstheme="minorHAnsi"/>
                <w:b/>
                <w:bCs/>
                <w:sz w:val="20"/>
                <w:szCs w:val="20"/>
              </w:rPr>
              <w:t>Cuadro 1. Definiciones de tipos de población.</w:t>
            </w:r>
          </w:p>
        </w:tc>
      </w:tr>
      <w:tr w:rsidR="00333FDC" w:rsidRPr="00333FDC" w14:paraId="5EBE0508" w14:textId="77777777" w:rsidTr="00233699">
        <w:tc>
          <w:tcPr>
            <w:tcW w:w="2348" w:type="dxa"/>
            <w:tcBorders>
              <w:top w:val="single" w:sz="4" w:space="0" w:color="auto"/>
            </w:tcBorders>
            <w:shd w:val="clear" w:color="auto" w:fill="BFBFBF" w:themeFill="background1" w:themeFillShade="BF"/>
            <w:vAlign w:val="center"/>
          </w:tcPr>
          <w:p w14:paraId="5F8CFE51" w14:textId="77777777" w:rsidR="00333FDC" w:rsidRPr="00333FDC" w:rsidRDefault="00333FDC" w:rsidP="00233699">
            <w:pPr>
              <w:jc w:val="center"/>
              <w:rPr>
                <w:rFonts w:cstheme="minorHAnsi"/>
                <w:b/>
                <w:bCs/>
                <w:sz w:val="20"/>
                <w:szCs w:val="20"/>
              </w:rPr>
            </w:pPr>
            <w:r w:rsidRPr="00333FDC">
              <w:rPr>
                <w:rFonts w:cstheme="minorHAnsi"/>
                <w:b/>
                <w:bCs/>
                <w:sz w:val="20"/>
                <w:szCs w:val="20"/>
              </w:rPr>
              <w:t>Población de referencia</w:t>
            </w:r>
          </w:p>
        </w:tc>
        <w:tc>
          <w:tcPr>
            <w:tcW w:w="2266" w:type="dxa"/>
            <w:tcBorders>
              <w:top w:val="single" w:sz="4" w:space="0" w:color="auto"/>
            </w:tcBorders>
            <w:shd w:val="clear" w:color="auto" w:fill="BFBFBF" w:themeFill="background1" w:themeFillShade="BF"/>
            <w:vAlign w:val="center"/>
          </w:tcPr>
          <w:p w14:paraId="3F0540B8" w14:textId="77777777" w:rsidR="00333FDC" w:rsidRPr="00333FDC" w:rsidRDefault="00333FDC" w:rsidP="00233699">
            <w:pPr>
              <w:jc w:val="center"/>
              <w:rPr>
                <w:rFonts w:cstheme="minorHAnsi"/>
                <w:b/>
                <w:bCs/>
                <w:sz w:val="20"/>
                <w:szCs w:val="20"/>
              </w:rPr>
            </w:pPr>
            <w:r w:rsidRPr="00333FDC">
              <w:rPr>
                <w:rFonts w:cstheme="minorHAnsi"/>
                <w:b/>
                <w:bCs/>
                <w:sz w:val="20"/>
                <w:szCs w:val="20"/>
              </w:rPr>
              <w:t>Población potencial</w:t>
            </w:r>
          </w:p>
        </w:tc>
        <w:tc>
          <w:tcPr>
            <w:tcW w:w="2266" w:type="dxa"/>
            <w:tcBorders>
              <w:top w:val="single" w:sz="4" w:space="0" w:color="auto"/>
            </w:tcBorders>
            <w:shd w:val="clear" w:color="auto" w:fill="BFBFBF" w:themeFill="background1" w:themeFillShade="BF"/>
            <w:vAlign w:val="center"/>
          </w:tcPr>
          <w:p w14:paraId="47909DC6" w14:textId="77777777" w:rsidR="00333FDC" w:rsidRPr="00333FDC" w:rsidRDefault="00333FDC" w:rsidP="00233699">
            <w:pPr>
              <w:jc w:val="center"/>
              <w:rPr>
                <w:rFonts w:cstheme="minorHAnsi"/>
                <w:b/>
                <w:bCs/>
                <w:sz w:val="20"/>
                <w:szCs w:val="20"/>
              </w:rPr>
            </w:pPr>
            <w:r w:rsidRPr="00333FDC">
              <w:rPr>
                <w:rFonts w:cstheme="minorHAnsi"/>
                <w:b/>
                <w:bCs/>
                <w:sz w:val="20"/>
                <w:szCs w:val="20"/>
              </w:rPr>
              <w:t>Población objetivo</w:t>
            </w:r>
          </w:p>
        </w:tc>
        <w:tc>
          <w:tcPr>
            <w:tcW w:w="1948" w:type="dxa"/>
            <w:tcBorders>
              <w:top w:val="single" w:sz="4" w:space="0" w:color="auto"/>
            </w:tcBorders>
            <w:shd w:val="clear" w:color="auto" w:fill="BFBFBF" w:themeFill="background1" w:themeFillShade="BF"/>
            <w:vAlign w:val="center"/>
          </w:tcPr>
          <w:p w14:paraId="120180FC" w14:textId="77777777" w:rsidR="00333FDC" w:rsidRPr="00333FDC" w:rsidRDefault="00333FDC" w:rsidP="00233699">
            <w:pPr>
              <w:jc w:val="center"/>
              <w:rPr>
                <w:rFonts w:cstheme="minorHAnsi"/>
                <w:b/>
                <w:bCs/>
                <w:sz w:val="20"/>
                <w:szCs w:val="20"/>
              </w:rPr>
            </w:pPr>
            <w:r w:rsidRPr="00333FDC">
              <w:rPr>
                <w:rFonts w:cstheme="minorHAnsi"/>
                <w:b/>
                <w:bCs/>
                <w:sz w:val="20"/>
                <w:szCs w:val="20"/>
              </w:rPr>
              <w:t>Población atendida</w:t>
            </w:r>
          </w:p>
        </w:tc>
      </w:tr>
      <w:tr w:rsidR="00333FDC" w:rsidRPr="00333FDC" w14:paraId="636BCCEF" w14:textId="77777777" w:rsidTr="00233699">
        <w:tc>
          <w:tcPr>
            <w:tcW w:w="2348" w:type="dxa"/>
            <w:tcBorders>
              <w:bottom w:val="single" w:sz="4" w:space="0" w:color="auto"/>
            </w:tcBorders>
          </w:tcPr>
          <w:p w14:paraId="3AD3FAAB" w14:textId="77777777" w:rsidR="00333FDC" w:rsidRPr="00333FDC" w:rsidRDefault="00333FDC" w:rsidP="00233699">
            <w:pPr>
              <w:jc w:val="both"/>
              <w:rPr>
                <w:rFonts w:cstheme="minorHAnsi"/>
                <w:sz w:val="20"/>
                <w:szCs w:val="20"/>
              </w:rPr>
            </w:pPr>
            <w:r w:rsidRPr="00333FDC">
              <w:rPr>
                <w:rFonts w:cstheme="minorHAnsi"/>
                <w:sz w:val="20"/>
                <w:szCs w:val="20"/>
              </w:rPr>
              <w:t>Es el universo o total de población (con o sin problema) relacionada con el área o sector en el que se está definiendo el problema.</w:t>
            </w:r>
          </w:p>
        </w:tc>
        <w:tc>
          <w:tcPr>
            <w:tcW w:w="2266" w:type="dxa"/>
            <w:tcBorders>
              <w:bottom w:val="single" w:sz="4" w:space="0" w:color="auto"/>
            </w:tcBorders>
          </w:tcPr>
          <w:p w14:paraId="71444823" w14:textId="77777777" w:rsidR="00333FDC" w:rsidRPr="00333FDC" w:rsidRDefault="00333FDC" w:rsidP="00233699">
            <w:pPr>
              <w:jc w:val="both"/>
              <w:rPr>
                <w:rFonts w:cstheme="minorHAnsi"/>
                <w:sz w:val="20"/>
                <w:szCs w:val="20"/>
              </w:rPr>
            </w:pPr>
            <w:r w:rsidRPr="00333FDC">
              <w:rPr>
                <w:rFonts w:cstheme="minorHAnsi"/>
                <w:sz w:val="20"/>
                <w:szCs w:val="20"/>
              </w:rPr>
              <w:t>Es la población afectada directamente o que presenta el problema que se está definiendo y que justifica la existencia del Pp.</w:t>
            </w:r>
          </w:p>
        </w:tc>
        <w:tc>
          <w:tcPr>
            <w:tcW w:w="2266" w:type="dxa"/>
            <w:tcBorders>
              <w:bottom w:val="single" w:sz="4" w:space="0" w:color="auto"/>
            </w:tcBorders>
          </w:tcPr>
          <w:p w14:paraId="639054A2" w14:textId="77777777" w:rsidR="00333FDC" w:rsidRPr="00333FDC" w:rsidRDefault="00333FDC" w:rsidP="00233699">
            <w:pPr>
              <w:jc w:val="both"/>
              <w:rPr>
                <w:rFonts w:cstheme="minorHAnsi"/>
                <w:sz w:val="20"/>
                <w:szCs w:val="20"/>
              </w:rPr>
            </w:pPr>
            <w:r w:rsidRPr="00333FDC">
              <w:rPr>
                <w:rFonts w:cstheme="minorHAnsi"/>
                <w:sz w:val="20"/>
                <w:szCs w:val="20"/>
              </w:rPr>
              <w:t>Es la población que el Pp pretende atender en un periodo dado de tiempo, pudiendo corresponder a la totalidad de la población potencial o parte de ella.</w:t>
            </w:r>
          </w:p>
        </w:tc>
        <w:tc>
          <w:tcPr>
            <w:tcW w:w="1948" w:type="dxa"/>
            <w:tcBorders>
              <w:bottom w:val="single" w:sz="4" w:space="0" w:color="auto"/>
            </w:tcBorders>
          </w:tcPr>
          <w:p w14:paraId="330BB6AD" w14:textId="77777777" w:rsidR="00333FDC" w:rsidRPr="00333FDC" w:rsidRDefault="00333FDC" w:rsidP="00233699">
            <w:pPr>
              <w:jc w:val="both"/>
              <w:rPr>
                <w:rFonts w:cstheme="minorHAnsi"/>
                <w:sz w:val="20"/>
                <w:szCs w:val="20"/>
              </w:rPr>
            </w:pPr>
            <w:r w:rsidRPr="00333FDC">
              <w:rPr>
                <w:rFonts w:cstheme="minorHAnsi"/>
                <w:sz w:val="20"/>
                <w:szCs w:val="20"/>
              </w:rPr>
              <w:t>Es la población que ya fue atendida por el Pp.</w:t>
            </w:r>
          </w:p>
        </w:tc>
      </w:tr>
      <w:tr w:rsidR="00333FDC" w:rsidRPr="00333FDC" w14:paraId="0F7FEBB9" w14:textId="77777777" w:rsidTr="00233699">
        <w:tc>
          <w:tcPr>
            <w:tcW w:w="8828" w:type="dxa"/>
            <w:gridSpan w:val="4"/>
            <w:tcBorders>
              <w:top w:val="single" w:sz="4" w:space="0" w:color="auto"/>
              <w:left w:val="nil"/>
              <w:bottom w:val="nil"/>
              <w:right w:val="nil"/>
            </w:tcBorders>
          </w:tcPr>
          <w:p w14:paraId="39A1CE9B" w14:textId="77777777" w:rsidR="00333FDC" w:rsidRPr="00333FDC" w:rsidRDefault="00333FDC" w:rsidP="00233699">
            <w:pPr>
              <w:jc w:val="both"/>
              <w:rPr>
                <w:rFonts w:cstheme="minorHAnsi"/>
                <w:sz w:val="20"/>
                <w:szCs w:val="20"/>
              </w:rPr>
            </w:pPr>
            <w:r w:rsidRPr="00333FDC">
              <w:rPr>
                <w:rFonts w:cstheme="minorHAnsi"/>
                <w:sz w:val="20"/>
                <w:szCs w:val="20"/>
              </w:rPr>
              <w:t>Fuente: Elaborado por la CEDH Sinaloa con base en la Guía para el Diseño de la Matriz de Indicadores para Resultados de la SHCP.</w:t>
            </w:r>
          </w:p>
        </w:tc>
      </w:tr>
    </w:tbl>
    <w:p w14:paraId="3982E2C3" w14:textId="77777777" w:rsidR="00333FDC" w:rsidRPr="00333FDC" w:rsidRDefault="00333FDC" w:rsidP="00333FDC">
      <w:pPr>
        <w:spacing w:before="240"/>
        <w:jc w:val="both"/>
        <w:rPr>
          <w:rFonts w:cstheme="minorHAnsi"/>
          <w:sz w:val="20"/>
          <w:szCs w:val="20"/>
        </w:rPr>
      </w:pPr>
      <w:r w:rsidRPr="00333FDC">
        <w:rPr>
          <w:rFonts w:cstheme="minorHAnsi"/>
          <w:sz w:val="20"/>
          <w:szCs w:val="20"/>
        </w:rPr>
        <w:t>Algunos aspectos para considerar en la definición del problema:</w:t>
      </w:r>
    </w:p>
    <w:p w14:paraId="6D422269" w14:textId="77777777" w:rsidR="00333FDC" w:rsidRPr="00333FDC" w:rsidRDefault="00333FDC" w:rsidP="00333FDC">
      <w:pPr>
        <w:pStyle w:val="Prrafodelista"/>
        <w:numPr>
          <w:ilvl w:val="0"/>
          <w:numId w:val="1"/>
        </w:numPr>
        <w:jc w:val="both"/>
        <w:rPr>
          <w:rFonts w:cstheme="minorHAnsi"/>
          <w:sz w:val="20"/>
          <w:szCs w:val="20"/>
        </w:rPr>
      </w:pPr>
      <w:r w:rsidRPr="00333FDC">
        <w:rPr>
          <w:rFonts w:cstheme="minorHAnsi"/>
          <w:sz w:val="20"/>
          <w:szCs w:val="20"/>
        </w:rPr>
        <w:t>El problema no debe ser expresado como la ausencia de un servicio o de un bien; es decir, no se debe confundir el problema con la falta de una solución.</w:t>
      </w:r>
    </w:p>
    <w:p w14:paraId="1D2F129A" w14:textId="77777777" w:rsidR="00333FDC" w:rsidRPr="00333FDC" w:rsidRDefault="00333FDC" w:rsidP="00333FDC">
      <w:pPr>
        <w:pStyle w:val="Prrafodelista"/>
        <w:numPr>
          <w:ilvl w:val="0"/>
          <w:numId w:val="1"/>
        </w:numPr>
        <w:jc w:val="both"/>
        <w:rPr>
          <w:rFonts w:cstheme="minorHAnsi"/>
          <w:sz w:val="20"/>
          <w:szCs w:val="20"/>
        </w:rPr>
      </w:pPr>
      <w:r w:rsidRPr="00333FDC">
        <w:rPr>
          <w:rFonts w:cstheme="minorHAnsi"/>
          <w:sz w:val="20"/>
          <w:szCs w:val="20"/>
        </w:rPr>
        <w:t>Se formula como un hecho negativo, o como una situación que debe ser revertida.</w:t>
      </w:r>
    </w:p>
    <w:p w14:paraId="31E96C8C" w14:textId="77777777" w:rsidR="00333FDC" w:rsidRPr="00333FDC" w:rsidRDefault="00333FDC" w:rsidP="00333FDC">
      <w:pPr>
        <w:pStyle w:val="Prrafodelista"/>
        <w:numPr>
          <w:ilvl w:val="0"/>
          <w:numId w:val="1"/>
        </w:numPr>
        <w:jc w:val="both"/>
        <w:rPr>
          <w:rFonts w:cstheme="minorHAnsi"/>
          <w:sz w:val="20"/>
          <w:szCs w:val="20"/>
        </w:rPr>
      </w:pPr>
      <w:r w:rsidRPr="00333FDC">
        <w:rPr>
          <w:rFonts w:cstheme="minorHAnsi"/>
          <w:sz w:val="20"/>
          <w:szCs w:val="20"/>
        </w:rPr>
        <w:t>Define la población objetivo.</w:t>
      </w:r>
    </w:p>
    <w:p w14:paraId="62F5FF17" w14:textId="77777777" w:rsidR="00333FDC" w:rsidRPr="00333FDC" w:rsidRDefault="00333FDC" w:rsidP="00333FDC">
      <w:pPr>
        <w:pStyle w:val="Prrafodelista"/>
        <w:numPr>
          <w:ilvl w:val="0"/>
          <w:numId w:val="1"/>
        </w:numPr>
        <w:jc w:val="both"/>
        <w:rPr>
          <w:rFonts w:cstheme="minorHAnsi"/>
          <w:sz w:val="20"/>
          <w:szCs w:val="20"/>
        </w:rPr>
      </w:pPr>
      <w:r w:rsidRPr="00333FDC">
        <w:rPr>
          <w:rFonts w:cstheme="minorHAnsi"/>
          <w:sz w:val="20"/>
          <w:szCs w:val="20"/>
        </w:rPr>
        <w:t>Describe la problemática central que afecta a la población definida.</w:t>
      </w:r>
    </w:p>
    <w:p w14:paraId="1247F318" w14:textId="77777777" w:rsidR="00333FDC" w:rsidRPr="00333FDC" w:rsidRDefault="00333FDC" w:rsidP="00333FDC">
      <w:pPr>
        <w:pStyle w:val="Prrafodelista"/>
        <w:numPr>
          <w:ilvl w:val="0"/>
          <w:numId w:val="1"/>
        </w:numPr>
        <w:jc w:val="both"/>
        <w:rPr>
          <w:rFonts w:cstheme="minorHAnsi"/>
          <w:sz w:val="20"/>
          <w:szCs w:val="20"/>
        </w:rPr>
      </w:pPr>
      <w:r w:rsidRPr="00333FDC">
        <w:rPr>
          <w:rFonts w:cstheme="minorHAnsi"/>
          <w:sz w:val="20"/>
          <w:szCs w:val="20"/>
        </w:rPr>
        <w:t xml:space="preserve">El enunciado que defina la problemática podrá tener la siguiente estructura: </w:t>
      </w:r>
    </w:p>
    <w:p w14:paraId="6D459C1C" w14:textId="77777777" w:rsidR="00333FDC" w:rsidRPr="00333FDC" w:rsidRDefault="00333FDC" w:rsidP="00333FDC">
      <w:pPr>
        <w:rPr>
          <w:rFonts w:cstheme="minorHAnsi"/>
          <w:sz w:val="20"/>
          <w:szCs w:val="20"/>
        </w:rPr>
      </w:pPr>
      <w:r w:rsidRPr="00333FDC">
        <w:rPr>
          <w:rFonts w:cstheme="minorHAnsi"/>
          <w:noProof/>
          <w:sz w:val="20"/>
          <w:szCs w:val="20"/>
        </w:rPr>
        <w:lastRenderedPageBreak/>
        <w:drawing>
          <wp:inline distT="0" distB="0" distL="0" distR="0" wp14:anchorId="0E2A4233" wp14:editId="063A5395">
            <wp:extent cx="5486400" cy="1509623"/>
            <wp:effectExtent l="0" t="0" r="19050" b="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143F6B60" w14:textId="1D50119D" w:rsidR="00333FDC" w:rsidRPr="00333FDC" w:rsidRDefault="00333FDC" w:rsidP="00333FDC">
      <w:pPr>
        <w:jc w:val="both"/>
        <w:rPr>
          <w:rFonts w:cstheme="minorHAnsi"/>
          <w:sz w:val="20"/>
          <w:szCs w:val="20"/>
        </w:rPr>
      </w:pPr>
      <w:r w:rsidRPr="00333FDC">
        <w:rPr>
          <w:rFonts w:cstheme="minorHAnsi"/>
          <w:sz w:val="20"/>
          <w:szCs w:val="20"/>
        </w:rPr>
        <w:t>A continuación, se presenta la Definición del problema para el Pp Política de Protección y Promoción de los Derechos Humanos:</w:t>
      </w:r>
    </w:p>
    <w:tbl>
      <w:tblPr>
        <w:tblW w:w="0" w:type="auto"/>
        <w:tblCellMar>
          <w:left w:w="70" w:type="dxa"/>
          <w:right w:w="70" w:type="dxa"/>
        </w:tblCellMar>
        <w:tblLook w:val="04A0" w:firstRow="1" w:lastRow="0" w:firstColumn="1" w:lastColumn="0" w:noHBand="0" w:noVBand="1"/>
      </w:tblPr>
      <w:tblGrid>
        <w:gridCol w:w="1266"/>
        <w:gridCol w:w="7552"/>
      </w:tblGrid>
      <w:tr w:rsidR="00AD1C99" w:rsidRPr="00333FDC" w14:paraId="0D490DDB" w14:textId="77777777" w:rsidTr="00D3664C">
        <w:trPr>
          <w:trHeight w:val="255"/>
        </w:trPr>
        <w:tc>
          <w:tcPr>
            <w:tcW w:w="0" w:type="auto"/>
            <w:gridSpan w:val="2"/>
            <w:tcBorders>
              <w:top w:val="single" w:sz="8" w:space="0" w:color="auto"/>
              <w:left w:val="single" w:sz="8" w:space="0" w:color="auto"/>
              <w:bottom w:val="single" w:sz="4" w:space="0" w:color="auto"/>
              <w:right w:val="single" w:sz="8" w:space="0" w:color="000000"/>
            </w:tcBorders>
            <w:shd w:val="clear" w:color="000000" w:fill="D9D9D9"/>
            <w:noWrap/>
            <w:vAlign w:val="center"/>
            <w:hideMark/>
          </w:tcPr>
          <w:p w14:paraId="5773B73A" w14:textId="77777777" w:rsidR="00AD1C99" w:rsidRPr="00333FDC" w:rsidRDefault="00AD1C99" w:rsidP="00233699">
            <w:pPr>
              <w:spacing w:after="0" w:line="240" w:lineRule="auto"/>
              <w:jc w:val="center"/>
              <w:rPr>
                <w:rFonts w:eastAsia="Times New Roman" w:cstheme="minorHAnsi"/>
                <w:b/>
                <w:bCs/>
                <w:color w:val="000000"/>
                <w:sz w:val="20"/>
                <w:szCs w:val="20"/>
                <w:lang w:eastAsia="es-MX"/>
              </w:rPr>
            </w:pPr>
            <w:r w:rsidRPr="00333FDC">
              <w:rPr>
                <w:rFonts w:eastAsia="Times New Roman" w:cstheme="minorHAnsi"/>
                <w:b/>
                <w:bCs/>
                <w:color w:val="000000"/>
                <w:sz w:val="20"/>
                <w:szCs w:val="20"/>
                <w:lang w:eastAsia="es-MX"/>
              </w:rPr>
              <w:t>DEFINICIÓN DEL PROBLEMA QUE DA ORIGEN AL PROGRAMA PRESUPUESTARIO</w:t>
            </w:r>
          </w:p>
        </w:tc>
      </w:tr>
      <w:tr w:rsidR="00D3664C" w:rsidRPr="00333FDC" w14:paraId="4DDC96A5" w14:textId="77777777" w:rsidTr="00D3664C">
        <w:trPr>
          <w:trHeight w:val="255"/>
        </w:trPr>
        <w:tc>
          <w:tcPr>
            <w:tcW w:w="1266" w:type="dxa"/>
            <w:tcBorders>
              <w:top w:val="nil"/>
              <w:left w:val="single" w:sz="8" w:space="0" w:color="auto"/>
              <w:bottom w:val="single" w:sz="4" w:space="0" w:color="auto"/>
              <w:right w:val="single" w:sz="4" w:space="0" w:color="auto"/>
            </w:tcBorders>
            <w:shd w:val="clear" w:color="auto" w:fill="auto"/>
            <w:noWrap/>
            <w:vAlign w:val="center"/>
            <w:hideMark/>
          </w:tcPr>
          <w:p w14:paraId="46A53F9C" w14:textId="77777777" w:rsidR="00AD1C99" w:rsidRPr="002B627E" w:rsidRDefault="00AD1C99" w:rsidP="00233699">
            <w:pPr>
              <w:spacing w:after="0" w:line="240" w:lineRule="auto"/>
              <w:jc w:val="right"/>
              <w:rPr>
                <w:rFonts w:eastAsia="Times New Roman" w:cstheme="minorHAnsi"/>
                <w:color w:val="000000"/>
                <w:sz w:val="20"/>
                <w:szCs w:val="20"/>
                <w:lang w:eastAsia="es-MX"/>
              </w:rPr>
            </w:pPr>
            <w:r w:rsidRPr="002B627E">
              <w:rPr>
                <w:rFonts w:eastAsia="Times New Roman" w:cstheme="minorHAnsi"/>
                <w:color w:val="000000"/>
                <w:sz w:val="20"/>
                <w:szCs w:val="20"/>
                <w:lang w:eastAsia="es-MX"/>
              </w:rPr>
              <w:t xml:space="preserve">Población: </w:t>
            </w:r>
          </w:p>
        </w:tc>
        <w:tc>
          <w:tcPr>
            <w:tcW w:w="7552" w:type="dxa"/>
            <w:tcBorders>
              <w:top w:val="single" w:sz="4" w:space="0" w:color="auto"/>
              <w:left w:val="nil"/>
              <w:bottom w:val="single" w:sz="4" w:space="0" w:color="auto"/>
              <w:right w:val="single" w:sz="8" w:space="0" w:color="000000"/>
            </w:tcBorders>
            <w:shd w:val="clear" w:color="auto" w:fill="auto"/>
            <w:noWrap/>
            <w:vAlign w:val="center"/>
            <w:hideMark/>
          </w:tcPr>
          <w:p w14:paraId="4C860E3A" w14:textId="099EDC00" w:rsidR="00D05662" w:rsidRPr="00B342F1" w:rsidRDefault="00D05662" w:rsidP="00333FDC">
            <w:pPr>
              <w:spacing w:after="0" w:line="240" w:lineRule="auto"/>
              <w:jc w:val="both"/>
              <w:rPr>
                <w:rFonts w:eastAsia="Times New Roman" w:cstheme="minorHAnsi"/>
                <w:color w:val="000000"/>
                <w:sz w:val="20"/>
                <w:szCs w:val="20"/>
                <w:lang w:eastAsia="es-MX"/>
              </w:rPr>
            </w:pPr>
            <w:r w:rsidRPr="006C4ECC">
              <w:rPr>
                <w:rFonts w:eastAsia="Times New Roman" w:cstheme="minorHAnsi"/>
                <w:color w:val="000000"/>
                <w:sz w:val="20"/>
                <w:szCs w:val="20"/>
                <w:lang w:eastAsia="es-MX"/>
              </w:rPr>
              <w:t>Las personas en el estado de Sinaloa con necesidades de capacitación, promoción, divulgación de derechos humanos y, atención y solución a denuncias por presuntas violaciones a sus derechos humanos</w:t>
            </w:r>
            <w:r w:rsidR="00B342F1" w:rsidRPr="006C4ECC">
              <w:rPr>
                <w:rFonts w:eastAsia="Times New Roman" w:cstheme="minorHAnsi"/>
                <w:color w:val="000000"/>
                <w:sz w:val="20"/>
                <w:szCs w:val="20"/>
                <w:lang w:eastAsia="es-MX"/>
              </w:rPr>
              <w:t>.</w:t>
            </w:r>
          </w:p>
        </w:tc>
      </w:tr>
      <w:tr w:rsidR="00D3664C" w:rsidRPr="00333FDC" w14:paraId="01667C60" w14:textId="77777777" w:rsidTr="00D3664C">
        <w:trPr>
          <w:trHeight w:val="255"/>
        </w:trPr>
        <w:tc>
          <w:tcPr>
            <w:tcW w:w="1266" w:type="dxa"/>
            <w:tcBorders>
              <w:top w:val="nil"/>
              <w:left w:val="single" w:sz="8" w:space="0" w:color="auto"/>
              <w:bottom w:val="single" w:sz="4" w:space="0" w:color="auto"/>
              <w:right w:val="single" w:sz="4" w:space="0" w:color="auto"/>
            </w:tcBorders>
            <w:shd w:val="clear" w:color="auto" w:fill="auto"/>
            <w:noWrap/>
            <w:vAlign w:val="center"/>
            <w:hideMark/>
          </w:tcPr>
          <w:p w14:paraId="228C0E09" w14:textId="77777777" w:rsidR="00AD1C99" w:rsidRPr="002B627E" w:rsidRDefault="00AD1C99" w:rsidP="00233699">
            <w:pPr>
              <w:spacing w:after="0" w:line="240" w:lineRule="auto"/>
              <w:jc w:val="right"/>
              <w:rPr>
                <w:rFonts w:eastAsia="Times New Roman" w:cstheme="minorHAnsi"/>
                <w:color w:val="000000"/>
                <w:sz w:val="20"/>
                <w:szCs w:val="20"/>
                <w:lang w:eastAsia="es-MX"/>
              </w:rPr>
            </w:pPr>
            <w:r w:rsidRPr="002B627E">
              <w:rPr>
                <w:rFonts w:eastAsia="Times New Roman" w:cstheme="minorHAnsi"/>
                <w:color w:val="000000"/>
                <w:sz w:val="20"/>
                <w:szCs w:val="20"/>
                <w:lang w:eastAsia="es-MX"/>
              </w:rPr>
              <w:t xml:space="preserve">Descripción: </w:t>
            </w:r>
          </w:p>
        </w:tc>
        <w:tc>
          <w:tcPr>
            <w:tcW w:w="7552" w:type="dxa"/>
            <w:tcBorders>
              <w:top w:val="single" w:sz="4" w:space="0" w:color="auto"/>
              <w:left w:val="nil"/>
              <w:bottom w:val="single" w:sz="4" w:space="0" w:color="auto"/>
              <w:right w:val="single" w:sz="8" w:space="0" w:color="000000"/>
            </w:tcBorders>
            <w:shd w:val="clear" w:color="auto" w:fill="auto"/>
            <w:noWrap/>
            <w:vAlign w:val="center"/>
            <w:hideMark/>
          </w:tcPr>
          <w:p w14:paraId="72033DCB" w14:textId="53A44445" w:rsidR="00D05662" w:rsidRPr="002B627E" w:rsidRDefault="003218F6" w:rsidP="006C4ECC">
            <w:pPr>
              <w:spacing w:after="0" w:line="240" w:lineRule="auto"/>
              <w:jc w:val="both"/>
              <w:rPr>
                <w:rFonts w:eastAsia="Times New Roman" w:cstheme="minorHAnsi"/>
                <w:color w:val="000000"/>
                <w:sz w:val="20"/>
                <w:szCs w:val="20"/>
                <w:lang w:eastAsia="es-MX"/>
              </w:rPr>
            </w:pPr>
            <w:r>
              <w:rPr>
                <w:rFonts w:eastAsia="Times New Roman" w:cstheme="minorHAnsi"/>
                <w:color w:val="000000"/>
                <w:sz w:val="20"/>
                <w:szCs w:val="20"/>
                <w:lang w:eastAsia="es-MX"/>
              </w:rPr>
              <w:t>D</w:t>
            </w:r>
            <w:r w:rsidR="002B627E" w:rsidRPr="002B627E">
              <w:rPr>
                <w:rFonts w:eastAsia="Times New Roman" w:cstheme="minorHAnsi"/>
                <w:color w:val="000000"/>
                <w:sz w:val="20"/>
                <w:szCs w:val="20"/>
                <w:lang w:eastAsia="es-MX"/>
              </w:rPr>
              <w:t xml:space="preserve">eficiente </w:t>
            </w:r>
            <w:r>
              <w:rPr>
                <w:rFonts w:eastAsia="Times New Roman" w:cstheme="minorHAnsi"/>
                <w:color w:val="000000"/>
                <w:sz w:val="20"/>
                <w:szCs w:val="20"/>
                <w:lang w:eastAsia="es-MX"/>
              </w:rPr>
              <w:t xml:space="preserve">atención </w:t>
            </w:r>
            <w:r w:rsidR="00333FDC" w:rsidRPr="002B627E">
              <w:rPr>
                <w:rFonts w:eastAsia="Times New Roman" w:cstheme="minorHAnsi"/>
                <w:color w:val="000000"/>
                <w:sz w:val="20"/>
                <w:szCs w:val="20"/>
                <w:lang w:eastAsia="es-MX"/>
              </w:rPr>
              <w:t xml:space="preserve">a </w:t>
            </w:r>
            <w:r w:rsidR="006C4ECC">
              <w:rPr>
                <w:rFonts w:eastAsia="Times New Roman" w:cstheme="minorHAnsi"/>
                <w:color w:val="000000"/>
                <w:sz w:val="20"/>
                <w:szCs w:val="20"/>
                <w:lang w:eastAsia="es-MX"/>
              </w:rPr>
              <w:t xml:space="preserve">las </w:t>
            </w:r>
            <w:r w:rsidR="00D05662" w:rsidRPr="006C4ECC">
              <w:rPr>
                <w:rFonts w:eastAsia="Times New Roman" w:cstheme="minorHAnsi"/>
                <w:color w:val="000000"/>
                <w:sz w:val="20"/>
                <w:szCs w:val="20"/>
                <w:lang w:eastAsia="es-MX"/>
              </w:rPr>
              <w:t>necesidades de capacitación, promoción, divulgación de derechos humanos y, atención y solución a denuncias por presuntas violaciones a sus derechos humanos</w:t>
            </w:r>
            <w:r w:rsidR="006C4ECC">
              <w:rPr>
                <w:rFonts w:eastAsia="Times New Roman" w:cstheme="minorHAnsi"/>
                <w:color w:val="000000"/>
                <w:sz w:val="20"/>
                <w:szCs w:val="20"/>
                <w:lang w:eastAsia="es-MX"/>
              </w:rPr>
              <w:t>.</w:t>
            </w:r>
          </w:p>
        </w:tc>
      </w:tr>
      <w:tr w:rsidR="00D3664C" w:rsidRPr="00333FDC" w14:paraId="5E54AF31" w14:textId="77777777" w:rsidTr="00D3664C">
        <w:trPr>
          <w:trHeight w:val="270"/>
        </w:trPr>
        <w:tc>
          <w:tcPr>
            <w:tcW w:w="126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3BE2A71" w14:textId="77777777" w:rsidR="00AD1C99" w:rsidRPr="002B627E" w:rsidRDefault="00AD1C99" w:rsidP="00233699">
            <w:pPr>
              <w:spacing w:after="0" w:line="240" w:lineRule="auto"/>
              <w:jc w:val="right"/>
              <w:rPr>
                <w:rFonts w:eastAsia="Times New Roman" w:cstheme="minorHAnsi"/>
                <w:color w:val="000000"/>
                <w:sz w:val="20"/>
                <w:szCs w:val="20"/>
                <w:lang w:eastAsia="es-MX"/>
              </w:rPr>
            </w:pPr>
            <w:r w:rsidRPr="002B627E">
              <w:rPr>
                <w:rFonts w:eastAsia="Times New Roman" w:cstheme="minorHAnsi"/>
                <w:color w:val="000000"/>
                <w:sz w:val="20"/>
                <w:szCs w:val="20"/>
                <w:lang w:eastAsia="es-MX"/>
              </w:rPr>
              <w:t xml:space="preserve">Magnitud: </w:t>
            </w:r>
          </w:p>
        </w:tc>
        <w:tc>
          <w:tcPr>
            <w:tcW w:w="7552" w:type="dxa"/>
            <w:tcBorders>
              <w:top w:val="single" w:sz="4" w:space="0" w:color="auto"/>
              <w:left w:val="nil"/>
              <w:bottom w:val="single" w:sz="4" w:space="0" w:color="auto"/>
              <w:right w:val="single" w:sz="8" w:space="0" w:color="000000"/>
            </w:tcBorders>
            <w:shd w:val="clear" w:color="auto" w:fill="auto"/>
            <w:noWrap/>
            <w:vAlign w:val="center"/>
            <w:hideMark/>
          </w:tcPr>
          <w:p w14:paraId="416F1A67" w14:textId="7DC2CC22" w:rsidR="00AD1C99" w:rsidRPr="002B627E" w:rsidRDefault="00333FDC" w:rsidP="00D3664C">
            <w:pPr>
              <w:spacing w:after="0" w:line="240" w:lineRule="auto"/>
              <w:jc w:val="both"/>
              <w:rPr>
                <w:rFonts w:eastAsia="Times New Roman" w:cstheme="minorHAnsi"/>
                <w:color w:val="000000"/>
                <w:sz w:val="20"/>
                <w:szCs w:val="20"/>
                <w:lang w:eastAsia="es-MX"/>
              </w:rPr>
            </w:pPr>
            <w:r w:rsidRPr="002B627E">
              <w:rPr>
                <w:rFonts w:eastAsia="Times New Roman" w:cstheme="minorHAnsi"/>
                <w:color w:val="000000"/>
                <w:sz w:val="20"/>
                <w:szCs w:val="20"/>
                <w:lang w:eastAsia="es-MX"/>
              </w:rPr>
              <w:t>Deficiente</w:t>
            </w:r>
            <w:r w:rsidR="002B627E" w:rsidRPr="002B627E">
              <w:rPr>
                <w:rFonts w:eastAsia="Times New Roman" w:cstheme="minorHAnsi"/>
                <w:color w:val="000000"/>
                <w:sz w:val="20"/>
                <w:szCs w:val="20"/>
                <w:lang w:eastAsia="es-MX"/>
              </w:rPr>
              <w:t>.</w:t>
            </w:r>
          </w:p>
        </w:tc>
      </w:tr>
    </w:tbl>
    <w:p w14:paraId="594BE108" w14:textId="77777777" w:rsidR="00333FDC" w:rsidRPr="00333FDC" w:rsidRDefault="00333FDC" w:rsidP="00333FDC">
      <w:pPr>
        <w:spacing w:before="240"/>
        <w:jc w:val="both"/>
        <w:rPr>
          <w:rFonts w:cstheme="minorHAnsi"/>
          <w:sz w:val="20"/>
          <w:szCs w:val="20"/>
        </w:rPr>
      </w:pPr>
      <w:r w:rsidRPr="00333FDC">
        <w:rPr>
          <w:rFonts w:cstheme="minorHAnsi"/>
          <w:sz w:val="20"/>
          <w:szCs w:val="20"/>
        </w:rPr>
        <w:t>Por lo tanto, el enunciado de definición del problema quedaría establecido de la siguiente forma:</w:t>
      </w:r>
    </w:p>
    <w:p w14:paraId="413E989E" w14:textId="6F8CAD31" w:rsidR="00AD1C99" w:rsidRPr="00333FDC" w:rsidRDefault="00D05662" w:rsidP="006D511D">
      <w:pPr>
        <w:jc w:val="both"/>
        <w:rPr>
          <w:rFonts w:cstheme="minorHAnsi"/>
          <w:b/>
          <w:bCs/>
          <w:sz w:val="20"/>
          <w:szCs w:val="20"/>
        </w:rPr>
      </w:pPr>
      <w:r w:rsidRPr="00D05662">
        <w:rPr>
          <w:rFonts w:cstheme="minorHAnsi"/>
          <w:b/>
          <w:bCs/>
          <w:sz w:val="20"/>
          <w:szCs w:val="20"/>
        </w:rPr>
        <w:t xml:space="preserve">Las personas en el estado de Sinaloa </w:t>
      </w:r>
      <w:r w:rsidR="009767E2">
        <w:rPr>
          <w:rFonts w:cstheme="minorHAnsi"/>
          <w:b/>
          <w:bCs/>
          <w:sz w:val="20"/>
          <w:szCs w:val="20"/>
        </w:rPr>
        <w:t>reciben una deficiente atención en</w:t>
      </w:r>
      <w:r w:rsidRPr="00D05662">
        <w:rPr>
          <w:rFonts w:cstheme="minorHAnsi"/>
          <w:b/>
          <w:bCs/>
          <w:sz w:val="20"/>
          <w:szCs w:val="20"/>
        </w:rPr>
        <w:t xml:space="preserve"> capacitación, promoción, divulgación de derechos humanos y, atención y solución a denuncias por presuntas violaciones a sus derechos humanos.</w:t>
      </w:r>
    </w:p>
    <w:tbl>
      <w:tblPr>
        <w:tblW w:w="5000" w:type="pct"/>
        <w:tblCellMar>
          <w:left w:w="70" w:type="dxa"/>
          <w:right w:w="70" w:type="dxa"/>
        </w:tblCellMar>
        <w:tblLook w:val="04A0" w:firstRow="1" w:lastRow="0" w:firstColumn="1" w:lastColumn="0" w:noHBand="0" w:noVBand="1"/>
      </w:tblPr>
      <w:tblGrid>
        <w:gridCol w:w="8818"/>
      </w:tblGrid>
      <w:tr w:rsidR="00AD1C99" w:rsidRPr="00333FDC" w14:paraId="295B4850" w14:textId="77777777" w:rsidTr="00D3664C">
        <w:trPr>
          <w:trHeight w:val="270"/>
          <w:tblHeader/>
        </w:trPr>
        <w:tc>
          <w:tcPr>
            <w:tcW w:w="5000" w:type="pct"/>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7EEEC728" w14:textId="77777777" w:rsidR="00AD1C99" w:rsidRPr="00333FDC" w:rsidRDefault="00AD1C99" w:rsidP="00AD1C99">
            <w:pPr>
              <w:spacing w:after="0" w:line="240" w:lineRule="auto"/>
              <w:jc w:val="center"/>
              <w:rPr>
                <w:rFonts w:eastAsia="Times New Roman" w:cstheme="minorHAnsi"/>
                <w:b/>
                <w:bCs/>
                <w:color w:val="000000"/>
                <w:sz w:val="20"/>
                <w:szCs w:val="20"/>
                <w:lang w:eastAsia="es-MX"/>
              </w:rPr>
            </w:pPr>
            <w:r w:rsidRPr="00333FDC">
              <w:rPr>
                <w:rFonts w:eastAsia="Times New Roman" w:cstheme="minorHAnsi"/>
                <w:b/>
                <w:bCs/>
                <w:color w:val="000000"/>
                <w:sz w:val="20"/>
                <w:szCs w:val="20"/>
                <w:lang w:eastAsia="es-MX"/>
              </w:rPr>
              <w:t>DIAGNÓSTICO DEL PROBLEMA</w:t>
            </w:r>
          </w:p>
        </w:tc>
      </w:tr>
      <w:tr w:rsidR="00AD1C99" w:rsidRPr="00333FDC" w14:paraId="33FB6190" w14:textId="77777777" w:rsidTr="007C4D6D">
        <w:trPr>
          <w:trHeight w:val="1965"/>
        </w:trPr>
        <w:tc>
          <w:tcPr>
            <w:tcW w:w="5000" w:type="pct"/>
            <w:tcBorders>
              <w:top w:val="single" w:sz="8" w:space="0" w:color="auto"/>
              <w:left w:val="single" w:sz="4" w:space="0" w:color="auto"/>
              <w:bottom w:val="single" w:sz="4" w:space="0" w:color="auto"/>
              <w:right w:val="single" w:sz="8" w:space="0" w:color="000000"/>
            </w:tcBorders>
            <w:shd w:val="clear" w:color="auto" w:fill="auto"/>
            <w:vAlign w:val="center"/>
            <w:hideMark/>
          </w:tcPr>
          <w:p w14:paraId="1E64FDE6" w14:textId="77777777" w:rsidR="00333FDC" w:rsidRPr="00333FDC" w:rsidRDefault="00333FDC" w:rsidP="00333FDC">
            <w:pPr>
              <w:spacing w:after="0" w:line="240" w:lineRule="auto"/>
              <w:jc w:val="both"/>
              <w:rPr>
                <w:rFonts w:eastAsia="Times New Roman" w:cstheme="minorHAnsi"/>
                <w:color w:val="000000"/>
                <w:sz w:val="20"/>
                <w:szCs w:val="20"/>
                <w:lang w:eastAsia="es-MX"/>
              </w:rPr>
            </w:pPr>
            <w:r w:rsidRPr="00333FDC">
              <w:rPr>
                <w:rFonts w:eastAsia="Times New Roman" w:cstheme="minorHAnsi"/>
                <w:color w:val="000000"/>
                <w:sz w:val="20"/>
                <w:szCs w:val="20"/>
                <w:lang w:eastAsia="es-MX"/>
              </w:rPr>
              <w:t xml:space="preserve">La dignidad humana ha sido reconocida en diversos instrumentos internacionales, tales como la Declaración Universal de los Derechos Humanos que establece: “Artículo 1. Todos los seres humanos nacen libres e iguales en dignidad y derechos y, dotados como están de razón y conciencia, deben comportarse fraternalmente los unos con los otros”. De igual manera, en los artículos 22 y 23 hace referencia a la dignidad humana y al libre desarrollo de su personalidad. </w:t>
            </w:r>
          </w:p>
          <w:p w14:paraId="236D1A7A" w14:textId="77777777" w:rsidR="00333FDC" w:rsidRPr="00333FDC" w:rsidRDefault="00333FDC" w:rsidP="00333FDC">
            <w:pPr>
              <w:spacing w:after="0" w:line="240" w:lineRule="auto"/>
              <w:jc w:val="both"/>
              <w:rPr>
                <w:rFonts w:eastAsia="Times New Roman" w:cstheme="minorHAnsi"/>
                <w:color w:val="000000"/>
                <w:sz w:val="20"/>
                <w:szCs w:val="20"/>
                <w:lang w:eastAsia="es-MX"/>
              </w:rPr>
            </w:pPr>
            <w:r w:rsidRPr="00333FDC">
              <w:rPr>
                <w:rFonts w:eastAsia="Times New Roman" w:cstheme="minorHAnsi"/>
                <w:color w:val="000000"/>
                <w:sz w:val="20"/>
                <w:szCs w:val="20"/>
                <w:lang w:eastAsia="es-MX"/>
              </w:rPr>
              <w:t xml:space="preserve">Por lo tanto, la Constitución Política de los Estados Unidos Mexicanos reconoce en su artículo 1°, párrafos primero y tercero que todas las personas gozarán de los derechos humanos reconocidos en esa Constitución y en los tratados internacionales de los que el Estado Mexicano sea parte, así como de las garantías para su protección. Asimismo, ordena que todas las autoridades, en el ámbito de sus competencias, tienen la obligación de promover, respetar, proteger y garantizar los derechos humanos de conformidad con los principios de universalidad, interdependencia, indivisibilidad y progresividad. </w:t>
            </w:r>
          </w:p>
          <w:p w14:paraId="2B9D7D75" w14:textId="77777777" w:rsidR="00333FDC" w:rsidRPr="00333FDC" w:rsidRDefault="00333FDC" w:rsidP="00333FDC">
            <w:pPr>
              <w:spacing w:after="0" w:line="240" w:lineRule="auto"/>
              <w:jc w:val="both"/>
              <w:rPr>
                <w:rFonts w:eastAsia="Times New Roman" w:cstheme="minorHAnsi"/>
                <w:color w:val="000000"/>
                <w:sz w:val="20"/>
                <w:szCs w:val="20"/>
                <w:lang w:eastAsia="es-MX"/>
              </w:rPr>
            </w:pPr>
            <w:r w:rsidRPr="00333FDC">
              <w:rPr>
                <w:rFonts w:eastAsia="Times New Roman" w:cstheme="minorHAnsi"/>
                <w:color w:val="000000"/>
                <w:sz w:val="20"/>
                <w:szCs w:val="20"/>
                <w:lang w:eastAsia="es-MX"/>
              </w:rPr>
              <w:t>La defensa y protección no jurisdiccional de los derechos humanos, es un mandato establecido en el artículo 102, apartado B de la Constitución Política de los Estados Unidos Mexicanos, conforme a la reforma publicada en el Diario Oficial de la Federación el día 28 de enero de 1992, mediante la cual se ordenó establecer organismos de protección de los derechos humanos que ampara el orden jurídico mexicano, los que conocerán de quejas en contra de actos u omisiones de naturaleza administrativa provenientes de cualquier autoridad o servidor público, que violen estos derechos. Asimismo, se estableció la conformación de organismos protectores de los derechos humanos en las entidades federativas.</w:t>
            </w:r>
          </w:p>
          <w:p w14:paraId="4989329F" w14:textId="77777777" w:rsidR="00257EA1" w:rsidRDefault="00333FDC" w:rsidP="00333FDC">
            <w:pPr>
              <w:spacing w:after="0" w:line="240" w:lineRule="auto"/>
              <w:jc w:val="both"/>
              <w:rPr>
                <w:rFonts w:eastAsia="Times New Roman" w:cstheme="minorHAnsi"/>
                <w:color w:val="000000"/>
                <w:sz w:val="20"/>
                <w:szCs w:val="20"/>
                <w:lang w:eastAsia="es-MX"/>
              </w:rPr>
            </w:pPr>
            <w:r w:rsidRPr="00333FDC">
              <w:rPr>
                <w:rFonts w:eastAsia="Times New Roman" w:cstheme="minorHAnsi"/>
                <w:color w:val="000000"/>
                <w:sz w:val="20"/>
                <w:szCs w:val="20"/>
                <w:lang w:eastAsia="es-MX"/>
              </w:rPr>
              <w:t xml:space="preserve">Frente a ese mandato constitucional, el día 29 de enero de 1993 se publicó en el Periódico Oficial “El Estado de Sinaloa”, la reforma a la Constitución Política del Estado de Sinaloa, con la que se adicionó el artículo 77 Bis, estableciéndose la Comisión Estatal de los Derechos Humanos de Sinaloa, la cual tiene por objeto esencial la defensa, protección, observancia, promoción, estudio y divulgación de los Derechos Humanos reconocidos en el orden jurídico mexicano. Entre sus principales atribuciones se encuentran el recibir </w:t>
            </w:r>
            <w:r w:rsidRPr="00333FDC">
              <w:rPr>
                <w:rFonts w:eastAsia="Times New Roman" w:cstheme="minorHAnsi"/>
                <w:color w:val="000000"/>
                <w:sz w:val="20"/>
                <w:szCs w:val="20"/>
                <w:lang w:eastAsia="es-MX"/>
              </w:rPr>
              <w:lastRenderedPageBreak/>
              <w:t>denuncias y quejas por presuntas violaciones a los derechos humanos; formular recomendaciones públicas no vinculatorias a las autoridades presuntamente responsables, formular propuestas de conciliación entre quejoso o agraviado y las autoridades presuntamente responsables, orientar legalmente a cualquier ciudadano, supervisar el respeto a los derechos humanos sobre todo en grupos en situación de vulnerabilidad e impulsar la promoción y observancia de los derechos humanos en el Estado.</w:t>
            </w:r>
          </w:p>
          <w:p w14:paraId="53E2C1C0" w14:textId="2DBF4BC8" w:rsidR="00333FDC" w:rsidRPr="00CC4FDD" w:rsidRDefault="00333FDC" w:rsidP="00333FDC">
            <w:pPr>
              <w:spacing w:after="0" w:line="240" w:lineRule="auto"/>
              <w:jc w:val="both"/>
              <w:rPr>
                <w:rFonts w:eastAsia="Times New Roman" w:cstheme="minorHAnsi"/>
                <w:color w:val="000000"/>
                <w:sz w:val="20"/>
                <w:szCs w:val="20"/>
                <w:lang w:eastAsia="es-MX"/>
              </w:rPr>
            </w:pPr>
            <w:r w:rsidRPr="00CC4FDD">
              <w:rPr>
                <w:rFonts w:eastAsia="Times New Roman" w:cstheme="minorHAnsi"/>
                <w:color w:val="000000"/>
                <w:sz w:val="20"/>
                <w:szCs w:val="20"/>
                <w:lang w:eastAsia="es-MX"/>
              </w:rPr>
              <w:t>De acuerdo con el Informe Anual de Actividades 202</w:t>
            </w:r>
            <w:r w:rsidR="00AB15C8" w:rsidRPr="00CC4FDD">
              <w:rPr>
                <w:rFonts w:eastAsia="Times New Roman" w:cstheme="minorHAnsi"/>
                <w:color w:val="000000"/>
                <w:sz w:val="20"/>
                <w:szCs w:val="20"/>
                <w:lang w:eastAsia="es-MX"/>
              </w:rPr>
              <w:t>0</w:t>
            </w:r>
            <w:r w:rsidRPr="00CC4FDD">
              <w:rPr>
                <w:rFonts w:eastAsia="Times New Roman" w:cstheme="minorHAnsi"/>
                <w:color w:val="000000"/>
                <w:sz w:val="20"/>
                <w:szCs w:val="20"/>
                <w:lang w:eastAsia="es-MX"/>
              </w:rPr>
              <w:t xml:space="preserve"> de la Comisión Estatal de Derechos Humanos de Sinaloa (CEDH), se presentaron 2</w:t>
            </w:r>
            <w:r w:rsidR="00071FA7" w:rsidRPr="00CC4FDD">
              <w:rPr>
                <w:rFonts w:eastAsia="Times New Roman" w:cstheme="minorHAnsi"/>
                <w:color w:val="000000"/>
                <w:sz w:val="20"/>
                <w:szCs w:val="20"/>
                <w:lang w:eastAsia="es-MX"/>
              </w:rPr>
              <w:t>,</w:t>
            </w:r>
            <w:r w:rsidR="00AB15C8" w:rsidRPr="00CC4FDD">
              <w:rPr>
                <w:rFonts w:eastAsia="Times New Roman" w:cstheme="minorHAnsi"/>
                <w:color w:val="000000"/>
                <w:sz w:val="20"/>
                <w:szCs w:val="20"/>
                <w:lang w:eastAsia="es-MX"/>
              </w:rPr>
              <w:t>752</w:t>
            </w:r>
            <w:r w:rsidRPr="00CC4FDD">
              <w:rPr>
                <w:rFonts w:eastAsia="Times New Roman" w:cstheme="minorHAnsi"/>
                <w:color w:val="000000"/>
                <w:sz w:val="20"/>
                <w:szCs w:val="20"/>
                <w:lang w:eastAsia="es-MX"/>
              </w:rPr>
              <w:t xml:space="preserve"> quejas por presuntas violaciones de derechos humanos, de las cuales, </w:t>
            </w:r>
            <w:r w:rsidR="0084025B" w:rsidRPr="00CC4FDD">
              <w:rPr>
                <w:rFonts w:eastAsia="Times New Roman" w:cstheme="minorHAnsi"/>
                <w:color w:val="000000"/>
                <w:sz w:val="20"/>
                <w:szCs w:val="20"/>
                <w:lang w:eastAsia="es-MX"/>
              </w:rPr>
              <w:t>1</w:t>
            </w:r>
            <w:r w:rsidR="00AB15C8" w:rsidRPr="00CC4FDD">
              <w:rPr>
                <w:rFonts w:eastAsia="Times New Roman" w:cstheme="minorHAnsi"/>
                <w:color w:val="000000"/>
                <w:sz w:val="20"/>
                <w:szCs w:val="20"/>
                <w:lang w:eastAsia="es-MX"/>
              </w:rPr>
              <w:t>2</w:t>
            </w:r>
            <w:r w:rsidR="0084025B" w:rsidRPr="00CC4FDD">
              <w:rPr>
                <w:rFonts w:eastAsia="Times New Roman" w:cstheme="minorHAnsi"/>
                <w:color w:val="000000"/>
                <w:sz w:val="20"/>
                <w:szCs w:val="20"/>
                <w:lang w:eastAsia="es-MX"/>
              </w:rPr>
              <w:t>.</w:t>
            </w:r>
            <w:r w:rsidR="00AB15C8" w:rsidRPr="00CC4FDD">
              <w:rPr>
                <w:rFonts w:eastAsia="Times New Roman" w:cstheme="minorHAnsi"/>
                <w:color w:val="000000"/>
                <w:sz w:val="20"/>
                <w:szCs w:val="20"/>
                <w:lang w:eastAsia="es-MX"/>
              </w:rPr>
              <w:t>8</w:t>
            </w:r>
            <w:r w:rsidRPr="00CC4FDD">
              <w:rPr>
                <w:rFonts w:eastAsia="Times New Roman" w:cstheme="minorHAnsi"/>
                <w:color w:val="000000"/>
                <w:sz w:val="20"/>
                <w:szCs w:val="20"/>
                <w:lang w:eastAsia="es-MX"/>
              </w:rPr>
              <w:t>% fueron calificadas como actas o hechos presuntamente violatorios,</w:t>
            </w:r>
            <w:r w:rsidR="009D1938" w:rsidRPr="00CC4FDD">
              <w:rPr>
                <w:rFonts w:eastAsia="Times New Roman" w:cstheme="minorHAnsi"/>
                <w:color w:val="000000"/>
                <w:sz w:val="20"/>
                <w:szCs w:val="20"/>
                <w:lang w:eastAsia="es-MX"/>
              </w:rPr>
              <w:t xml:space="preserve"> </w:t>
            </w:r>
            <w:r w:rsidR="00AB15C8" w:rsidRPr="00CC4FDD">
              <w:rPr>
                <w:rFonts w:eastAsia="Times New Roman" w:cstheme="minorHAnsi"/>
                <w:color w:val="000000"/>
                <w:sz w:val="20"/>
                <w:szCs w:val="20"/>
                <w:lang w:eastAsia="es-MX"/>
              </w:rPr>
              <w:t>1</w:t>
            </w:r>
            <w:r w:rsidR="0084025B" w:rsidRPr="00CC4FDD">
              <w:rPr>
                <w:rFonts w:eastAsia="Times New Roman" w:cstheme="minorHAnsi"/>
                <w:color w:val="000000"/>
                <w:sz w:val="20"/>
                <w:szCs w:val="20"/>
                <w:lang w:eastAsia="es-MX"/>
              </w:rPr>
              <w:t>.</w:t>
            </w:r>
            <w:r w:rsidR="00AB15C8" w:rsidRPr="00CC4FDD">
              <w:rPr>
                <w:rFonts w:eastAsia="Times New Roman" w:cstheme="minorHAnsi"/>
                <w:color w:val="000000"/>
                <w:sz w:val="20"/>
                <w:szCs w:val="20"/>
                <w:lang w:eastAsia="es-MX"/>
              </w:rPr>
              <w:t>2</w:t>
            </w:r>
            <w:r w:rsidR="009D1938" w:rsidRPr="00CC4FDD">
              <w:rPr>
                <w:rFonts w:eastAsia="Times New Roman" w:cstheme="minorHAnsi"/>
                <w:color w:val="000000"/>
                <w:sz w:val="20"/>
                <w:szCs w:val="20"/>
                <w:lang w:eastAsia="es-MX"/>
              </w:rPr>
              <w:t>%</w:t>
            </w:r>
            <w:r w:rsidR="00682983" w:rsidRPr="00CC4FDD">
              <w:rPr>
                <w:rFonts w:eastAsia="Times New Roman" w:cstheme="minorHAnsi"/>
                <w:color w:val="000000"/>
                <w:sz w:val="20"/>
                <w:szCs w:val="20"/>
                <w:lang w:eastAsia="es-MX"/>
              </w:rPr>
              <w:t xml:space="preserve">                                                                                                                                                                                                                                                                                                                                                                                                                                                                                                                                                                                                                                                                                                                                                                                                                                                                                                                                                                                                                                                                                                                                                                                                                                                                                                 </w:t>
            </w:r>
            <w:r w:rsidRPr="00CC4FDD">
              <w:rPr>
                <w:rFonts w:eastAsia="Times New Roman" w:cstheme="minorHAnsi"/>
                <w:color w:val="000000"/>
                <w:sz w:val="20"/>
                <w:szCs w:val="20"/>
                <w:lang w:eastAsia="es-MX"/>
              </w:rPr>
              <w:t xml:space="preserve">como pendientes de calificar, </w:t>
            </w:r>
            <w:r w:rsidR="00AB15C8" w:rsidRPr="00CC4FDD">
              <w:rPr>
                <w:rFonts w:eastAsia="Times New Roman" w:cstheme="minorHAnsi"/>
                <w:color w:val="000000"/>
                <w:sz w:val="20"/>
                <w:szCs w:val="20"/>
                <w:lang w:eastAsia="es-MX"/>
              </w:rPr>
              <w:t>83</w:t>
            </w:r>
            <w:r w:rsidR="0084025B" w:rsidRPr="00CC4FDD">
              <w:rPr>
                <w:rFonts w:eastAsia="Times New Roman" w:cstheme="minorHAnsi"/>
                <w:color w:val="000000"/>
                <w:sz w:val="20"/>
                <w:szCs w:val="20"/>
                <w:lang w:eastAsia="es-MX"/>
              </w:rPr>
              <w:t>.</w:t>
            </w:r>
            <w:r w:rsidR="00AB15C8" w:rsidRPr="00CC4FDD">
              <w:rPr>
                <w:rFonts w:eastAsia="Times New Roman" w:cstheme="minorHAnsi"/>
                <w:color w:val="000000"/>
                <w:sz w:val="20"/>
                <w:szCs w:val="20"/>
                <w:lang w:eastAsia="es-MX"/>
              </w:rPr>
              <w:t>5</w:t>
            </w:r>
            <w:r w:rsidRPr="00CC4FDD">
              <w:rPr>
                <w:rFonts w:eastAsia="Times New Roman" w:cstheme="minorHAnsi"/>
                <w:color w:val="000000"/>
                <w:sz w:val="20"/>
                <w:szCs w:val="20"/>
                <w:lang w:eastAsia="es-MX"/>
              </w:rPr>
              <w:t xml:space="preserve">% fueron solucionados de manera inmediata (se resolvieron sin iniciar un expediente de queja) y </w:t>
            </w:r>
            <w:r w:rsidR="00AB15C8" w:rsidRPr="00CC4FDD">
              <w:rPr>
                <w:rFonts w:eastAsia="Times New Roman" w:cstheme="minorHAnsi"/>
                <w:color w:val="000000"/>
                <w:sz w:val="20"/>
                <w:szCs w:val="20"/>
                <w:lang w:eastAsia="es-MX"/>
              </w:rPr>
              <w:t>2</w:t>
            </w:r>
            <w:r w:rsidR="0084025B" w:rsidRPr="00CC4FDD">
              <w:rPr>
                <w:rFonts w:eastAsia="Times New Roman" w:cstheme="minorHAnsi"/>
                <w:color w:val="000000"/>
                <w:sz w:val="20"/>
                <w:szCs w:val="20"/>
                <w:lang w:eastAsia="es-MX"/>
              </w:rPr>
              <w:t>.</w:t>
            </w:r>
            <w:r w:rsidR="00AB15C8" w:rsidRPr="00CC4FDD">
              <w:rPr>
                <w:rFonts w:eastAsia="Times New Roman" w:cstheme="minorHAnsi"/>
                <w:color w:val="000000"/>
                <w:sz w:val="20"/>
                <w:szCs w:val="20"/>
                <w:lang w:eastAsia="es-MX"/>
              </w:rPr>
              <w:t>5</w:t>
            </w:r>
            <w:r w:rsidRPr="00CC4FDD">
              <w:rPr>
                <w:rFonts w:eastAsia="Times New Roman" w:cstheme="minorHAnsi"/>
                <w:color w:val="000000"/>
                <w:sz w:val="20"/>
                <w:szCs w:val="20"/>
                <w:lang w:eastAsia="es-MX"/>
              </w:rPr>
              <w:t>% se calificaron como incompetentes a los asuntos de esta Comisión.</w:t>
            </w:r>
          </w:p>
          <w:p w14:paraId="0B7AF80C" w14:textId="4BCA2BAE" w:rsidR="00D922C4" w:rsidRPr="00CC4FDD" w:rsidRDefault="00D922C4" w:rsidP="00D922C4">
            <w:pPr>
              <w:spacing w:after="0" w:line="240" w:lineRule="auto"/>
              <w:jc w:val="both"/>
              <w:rPr>
                <w:rFonts w:eastAsia="Times New Roman" w:cstheme="minorHAnsi"/>
                <w:color w:val="000000"/>
                <w:sz w:val="20"/>
                <w:szCs w:val="20"/>
                <w:lang w:eastAsia="es-MX"/>
              </w:rPr>
            </w:pPr>
            <w:r w:rsidRPr="00CC4FDD">
              <w:rPr>
                <w:rFonts w:eastAsia="Times New Roman" w:cstheme="minorHAnsi"/>
                <w:color w:val="000000"/>
                <w:sz w:val="20"/>
                <w:szCs w:val="20"/>
                <w:lang w:eastAsia="es-MX"/>
              </w:rPr>
              <w:t xml:space="preserve">En el Informe Anual de </w:t>
            </w:r>
            <w:r w:rsidRPr="00C75A93">
              <w:rPr>
                <w:rFonts w:eastAsia="Times New Roman" w:cstheme="minorHAnsi"/>
                <w:color w:val="000000"/>
                <w:sz w:val="20"/>
                <w:szCs w:val="20"/>
                <w:lang w:eastAsia="es-MX"/>
              </w:rPr>
              <w:t>Actividades 2021</w:t>
            </w:r>
            <w:r w:rsidRPr="00CC4FDD">
              <w:rPr>
                <w:rFonts w:eastAsia="Times New Roman" w:cstheme="minorHAnsi"/>
                <w:color w:val="000000"/>
                <w:sz w:val="20"/>
                <w:szCs w:val="20"/>
                <w:lang w:eastAsia="es-MX"/>
              </w:rPr>
              <w:t xml:space="preserve"> de la Comisión Estatal de Derechos Humanos de Sinaloa (CEDH), se presentaron 2,484 quejas por presuntas violaciones de derechos humanos, de las cuales, 19.9% fueron calificadas como actas o hechos presuntamente violatorios, 2.3%                                                                                                                                                                                                                                                                                                                                                                                                                                                                                                                                                                                                                                                                                                                                                                                                                                                                                                                                                                                                                                                                                                                                                                                                                                                                                                 como pendientes de calificar, 73.7% fueron solucionados de manera inmediata (se resolvieron sin iniciar un expediente de queja) y 4.1% se calificaron como incompetentes a los asuntos de esta Comisión.</w:t>
            </w:r>
          </w:p>
          <w:p w14:paraId="078AA46D" w14:textId="3DDA99B6" w:rsidR="00D922C4" w:rsidRPr="00CC4FDD" w:rsidRDefault="00D922C4" w:rsidP="00D922C4">
            <w:pPr>
              <w:spacing w:after="0" w:line="240" w:lineRule="auto"/>
              <w:jc w:val="both"/>
              <w:rPr>
                <w:rFonts w:eastAsia="Times New Roman" w:cstheme="minorHAnsi"/>
                <w:color w:val="000000"/>
                <w:sz w:val="20"/>
                <w:szCs w:val="20"/>
                <w:lang w:eastAsia="es-MX"/>
              </w:rPr>
            </w:pPr>
            <w:r w:rsidRPr="00CC4FDD">
              <w:rPr>
                <w:rFonts w:eastAsia="Times New Roman" w:cstheme="minorHAnsi"/>
                <w:color w:val="000000"/>
                <w:sz w:val="20"/>
                <w:szCs w:val="20"/>
                <w:lang w:eastAsia="es-MX"/>
              </w:rPr>
              <w:t xml:space="preserve">Durante el </w:t>
            </w:r>
            <w:r w:rsidRPr="00C75A93">
              <w:rPr>
                <w:rFonts w:eastAsia="Times New Roman" w:cstheme="minorHAnsi"/>
                <w:color w:val="000000"/>
                <w:sz w:val="20"/>
                <w:szCs w:val="20"/>
                <w:lang w:eastAsia="es-MX"/>
              </w:rPr>
              <w:t>ejercicio 2022</w:t>
            </w:r>
            <w:r w:rsidRPr="00CC4FDD">
              <w:rPr>
                <w:rFonts w:eastAsia="Times New Roman" w:cstheme="minorHAnsi"/>
                <w:color w:val="000000"/>
                <w:sz w:val="20"/>
                <w:szCs w:val="20"/>
                <w:lang w:eastAsia="es-MX"/>
              </w:rPr>
              <w:t>, el Informe Anual de Actividades reporta que se presentaron 2,756 quejas por presuntas violaciones a derechos humanos, de las cuales 20.0% se califican como actas o hechos presuntamente violatorios de derechos humanos, 2.7% como pendientes de calificar, 71.9% fueron asuntos solucionados de manera inmediata, y 5.4% fueron calificadas incompetentes a esta Comisión.</w:t>
            </w:r>
          </w:p>
          <w:p w14:paraId="6CD2A8AF" w14:textId="19BE8AAC" w:rsidR="00D922C4" w:rsidRPr="00CC4FDD" w:rsidRDefault="00D922C4" w:rsidP="00D922C4">
            <w:pPr>
              <w:spacing w:after="0" w:line="240" w:lineRule="auto"/>
              <w:jc w:val="both"/>
              <w:rPr>
                <w:rFonts w:eastAsia="Times New Roman" w:cstheme="minorHAnsi"/>
                <w:color w:val="000000"/>
                <w:sz w:val="20"/>
                <w:szCs w:val="20"/>
                <w:lang w:eastAsia="es-MX"/>
              </w:rPr>
            </w:pPr>
            <w:r w:rsidRPr="00CC4FDD">
              <w:rPr>
                <w:rFonts w:eastAsia="Times New Roman" w:cstheme="minorHAnsi"/>
                <w:color w:val="000000"/>
                <w:sz w:val="20"/>
                <w:szCs w:val="20"/>
                <w:lang w:eastAsia="es-MX"/>
              </w:rPr>
              <w:t xml:space="preserve">En el Informe </w:t>
            </w:r>
            <w:r w:rsidRPr="00C75A93">
              <w:rPr>
                <w:rFonts w:eastAsia="Times New Roman" w:cstheme="minorHAnsi"/>
                <w:color w:val="000000"/>
                <w:sz w:val="20"/>
                <w:szCs w:val="20"/>
                <w:lang w:eastAsia="es-MX"/>
              </w:rPr>
              <w:t>Anual de Actividades 2023,</w:t>
            </w:r>
            <w:r w:rsidRPr="00CC4FDD">
              <w:rPr>
                <w:rFonts w:eastAsia="Times New Roman" w:cstheme="minorHAnsi"/>
                <w:color w:val="000000"/>
                <w:sz w:val="20"/>
                <w:szCs w:val="20"/>
                <w:lang w:eastAsia="es-MX"/>
              </w:rPr>
              <w:t xml:space="preserve"> establece que se recibieron 3,256 quejas de las cuales 18.5% fueron calificadas como actos o hechos presuntamente violatorios de derechos humanos, 3.0% como pendientes de calificar, 73.3% fueron solucionados de manera inmediata (se resolvieron sin iniciar un expediente de queja) y 5.2% se calificaron como incompetentes a los asuntos de esta Comisión.</w:t>
            </w:r>
          </w:p>
          <w:p w14:paraId="689E3F87" w14:textId="25FA98A4" w:rsidR="00D922C4" w:rsidRDefault="00D922C4" w:rsidP="00D922C4">
            <w:pPr>
              <w:spacing w:after="0" w:line="240" w:lineRule="auto"/>
              <w:jc w:val="both"/>
              <w:rPr>
                <w:rFonts w:eastAsia="Times New Roman" w:cstheme="minorHAnsi"/>
                <w:color w:val="000000"/>
                <w:sz w:val="20"/>
                <w:szCs w:val="20"/>
                <w:lang w:eastAsia="es-MX"/>
              </w:rPr>
            </w:pPr>
            <w:r w:rsidRPr="00CC4FDD">
              <w:rPr>
                <w:rFonts w:eastAsia="Times New Roman" w:cstheme="minorHAnsi"/>
                <w:color w:val="000000"/>
                <w:sz w:val="20"/>
                <w:szCs w:val="20"/>
                <w:lang w:eastAsia="es-MX"/>
              </w:rPr>
              <w:t xml:space="preserve">Finalmente, el Informe </w:t>
            </w:r>
            <w:r w:rsidRPr="00FC0B8E">
              <w:rPr>
                <w:rFonts w:eastAsia="Times New Roman" w:cstheme="minorHAnsi"/>
                <w:color w:val="000000"/>
                <w:sz w:val="20"/>
                <w:szCs w:val="20"/>
                <w:lang w:eastAsia="es-MX"/>
              </w:rPr>
              <w:t>Anual de Actividades 2024,</w:t>
            </w:r>
            <w:r w:rsidRPr="00CC4FDD">
              <w:rPr>
                <w:rFonts w:eastAsia="Times New Roman" w:cstheme="minorHAnsi"/>
                <w:color w:val="000000"/>
                <w:sz w:val="20"/>
                <w:szCs w:val="20"/>
                <w:lang w:eastAsia="es-MX"/>
              </w:rPr>
              <w:t xml:space="preserve"> establece que se recibieron 2,834 quejas de las cuales 18.5% fueron calificadas como actos o hechos presuntamente violatorios de derechos humanos, 2.3% como pendientes de calificar, 71.7% fueron solucionados de manera inmediata (se resolvieron sin iniciar un expediente de queja) y 7.5% se calificaron como incompetentes a los asuntos de esta Comisión.</w:t>
            </w:r>
          </w:p>
          <w:p w14:paraId="3D2FD132" w14:textId="77777777" w:rsidR="00333FDC" w:rsidRPr="006D511D" w:rsidRDefault="00333FDC" w:rsidP="00333FDC">
            <w:pPr>
              <w:spacing w:after="0" w:line="240" w:lineRule="auto"/>
              <w:jc w:val="both"/>
              <w:rPr>
                <w:rFonts w:eastAsia="Times New Roman" w:cstheme="minorHAnsi"/>
                <w:color w:val="000000"/>
                <w:sz w:val="20"/>
                <w:szCs w:val="20"/>
                <w:lang w:eastAsia="es-MX"/>
              </w:rPr>
            </w:pPr>
            <w:r w:rsidRPr="006D511D">
              <w:rPr>
                <w:rFonts w:eastAsia="Times New Roman" w:cstheme="minorHAnsi"/>
                <w:color w:val="000000"/>
                <w:sz w:val="20"/>
                <w:szCs w:val="20"/>
                <w:lang w:eastAsia="es-MX"/>
              </w:rPr>
              <w:t>La violación de derechos humanos es una práctica en la que participan las personas servidoras públicas, al incumplir el marco normativo que rige su actuación, ocasionando faltas u omisiones a la legalidad, honradez, lealtad, imparcialidad y eficacia en el desempeño de sus funciones, empleos, cargos o comisiones en el estado de Sinaloa. Debido a determinadas circunstancias del entorno social, existen sectores de la población que se encuentran en situaciones de desventaja y enfrentan un mayor riesgo de que sus derechos humanos no sean respetados. La vulnerabilidad no es una condición personal, es decir, no se trata de la característica del ser humano. Las personas no son por sí mismas “vulnerables”, “débiles” o “indefensas”, sino que, por una condición particular, se enfrentan a un entorno que, injustamente, restringe o impide el desarrollo de uno o varios aspectos de su vida, quedando sujetas a una situación de vulnerabilidad y, por lo tanto, a un mayor riesgo de ver sus derechos afectados.</w:t>
            </w:r>
          </w:p>
          <w:p w14:paraId="6E793AF6" w14:textId="77777777" w:rsidR="00333FDC" w:rsidRDefault="00333FDC" w:rsidP="00333FDC">
            <w:pPr>
              <w:spacing w:after="0" w:line="240" w:lineRule="auto"/>
              <w:jc w:val="both"/>
              <w:rPr>
                <w:rFonts w:eastAsia="Times New Roman" w:cstheme="minorHAnsi"/>
                <w:color w:val="000000"/>
                <w:sz w:val="20"/>
                <w:szCs w:val="20"/>
                <w:lang w:eastAsia="es-MX"/>
              </w:rPr>
            </w:pPr>
            <w:r w:rsidRPr="006D511D">
              <w:rPr>
                <w:rFonts w:eastAsia="Times New Roman" w:cstheme="minorHAnsi"/>
                <w:color w:val="000000"/>
                <w:sz w:val="20"/>
                <w:szCs w:val="20"/>
                <w:lang w:eastAsia="es-MX"/>
              </w:rPr>
              <w:t>Aunado a lo anterior, las presuntas víctimas de violaciones a derechos humanos en el estado se encuentran con un limitado acceso a los servicios de la CEDH, enfrentándose también a una deficiente coordinación entre instituciones y autoridades públicas para atender y dar seguimiento a sus quejas.</w:t>
            </w:r>
          </w:p>
          <w:p w14:paraId="3BD7DA5E" w14:textId="2D707DED" w:rsidR="00333FDC" w:rsidRDefault="00333FDC" w:rsidP="00333FDC">
            <w:pPr>
              <w:spacing w:after="0" w:line="240" w:lineRule="auto"/>
              <w:jc w:val="both"/>
              <w:rPr>
                <w:rFonts w:eastAsia="Times New Roman" w:cstheme="minorHAnsi"/>
                <w:color w:val="000000"/>
                <w:sz w:val="20"/>
                <w:szCs w:val="20"/>
                <w:lang w:eastAsia="es-MX"/>
              </w:rPr>
            </w:pPr>
            <w:r w:rsidRPr="006D511D">
              <w:rPr>
                <w:rFonts w:eastAsia="Times New Roman" w:cstheme="minorHAnsi"/>
                <w:color w:val="000000"/>
                <w:sz w:val="20"/>
                <w:szCs w:val="20"/>
                <w:lang w:eastAsia="es-MX"/>
              </w:rPr>
              <w:t xml:space="preserve">Por otra parte, existe una </w:t>
            </w:r>
            <w:r w:rsidR="00D002C0" w:rsidRPr="006D511D">
              <w:rPr>
                <w:rFonts w:eastAsia="Times New Roman" w:cstheme="minorHAnsi"/>
                <w:color w:val="000000"/>
                <w:sz w:val="20"/>
                <w:szCs w:val="20"/>
                <w:lang w:eastAsia="es-MX"/>
              </w:rPr>
              <w:t>baja</w:t>
            </w:r>
            <w:r w:rsidRPr="006D511D">
              <w:rPr>
                <w:rFonts w:eastAsia="Times New Roman" w:cstheme="minorHAnsi"/>
                <w:color w:val="000000"/>
                <w:sz w:val="20"/>
                <w:szCs w:val="20"/>
                <w:lang w:eastAsia="es-MX"/>
              </w:rPr>
              <w:t xml:space="preserve"> cultura de respeto a los derechos humanos en la sociedad sinaloense, originada en parte por la</w:t>
            </w:r>
            <w:r w:rsidR="00347B72" w:rsidRPr="006D511D">
              <w:rPr>
                <w:rFonts w:eastAsia="Times New Roman" w:cstheme="minorHAnsi"/>
                <w:color w:val="000000"/>
                <w:sz w:val="20"/>
                <w:szCs w:val="20"/>
                <w:lang w:eastAsia="es-MX"/>
              </w:rPr>
              <w:t xml:space="preserve"> </w:t>
            </w:r>
            <w:r w:rsidR="008852A7" w:rsidRPr="006D511D">
              <w:rPr>
                <w:rFonts w:eastAsia="Times New Roman" w:cstheme="minorHAnsi"/>
                <w:color w:val="000000"/>
                <w:sz w:val="20"/>
                <w:szCs w:val="20"/>
                <w:lang w:eastAsia="es-MX"/>
              </w:rPr>
              <w:t>insuficiente</w:t>
            </w:r>
            <w:r w:rsidRPr="006D511D">
              <w:rPr>
                <w:rFonts w:eastAsia="Times New Roman" w:cstheme="minorHAnsi"/>
                <w:color w:val="000000"/>
                <w:sz w:val="20"/>
                <w:szCs w:val="20"/>
                <w:lang w:eastAsia="es-MX"/>
              </w:rPr>
              <w:t xml:space="preserve"> promoción, estudio y divulgación en la materia, es decir, en acciones de carácter preventivo dirigidas a las personas servidoras públicas y a la sociedad en general. Lo anterior ocasiona una ineficacia en la atención de las presuntas víctimas, impunidad de los presuntos responsables, falta de credibilidad en las instituciones protectoras de derechos humanos, indefensión de las presuntas víctimas ante presuntas violaciones y en ocasiones, repetición de violaciones a los derechos humanos.</w:t>
            </w:r>
          </w:p>
          <w:p w14:paraId="0E703D4C" w14:textId="77777777" w:rsidR="00071FA7" w:rsidRDefault="00071FA7" w:rsidP="00071FA7">
            <w:pPr>
              <w:pStyle w:val="Default"/>
              <w:jc w:val="both"/>
              <w:rPr>
                <w:sz w:val="20"/>
                <w:szCs w:val="20"/>
              </w:rPr>
            </w:pPr>
            <w:r>
              <w:rPr>
                <w:sz w:val="20"/>
                <w:szCs w:val="20"/>
              </w:rPr>
              <w:t xml:space="preserve">Aunado a lo anterior, las presuntas víctimas de violaciones a derechos humanos en el estado se encuentran con un limitado acceso a los servicios de la CEDH, enfrentándose también a una deficiente coordinación entre instituciones y autoridades públicas para atender y dar seguimiento a sus quejas. </w:t>
            </w:r>
          </w:p>
          <w:p w14:paraId="4414CEA5" w14:textId="6901DE10" w:rsidR="00AB15C8" w:rsidRPr="006D511D" w:rsidRDefault="00071FA7" w:rsidP="00071FA7">
            <w:pPr>
              <w:pStyle w:val="Default"/>
              <w:jc w:val="both"/>
              <w:rPr>
                <w:rFonts w:eastAsia="Times New Roman" w:cstheme="minorHAnsi"/>
                <w:sz w:val="20"/>
                <w:szCs w:val="20"/>
                <w:lang w:eastAsia="es-MX"/>
              </w:rPr>
            </w:pPr>
            <w:r>
              <w:rPr>
                <w:sz w:val="20"/>
                <w:szCs w:val="20"/>
              </w:rPr>
              <w:t xml:space="preserve">Por lo tanto, mediante el Programa presupuestario Política de Protección y Promoción de los Derechos Humanos, se pretende consolidar la calidad de los servicios que la Comisión Estatal de los Derechos </w:t>
            </w:r>
            <w:r>
              <w:rPr>
                <w:sz w:val="20"/>
                <w:szCs w:val="20"/>
              </w:rPr>
              <w:lastRenderedPageBreak/>
              <w:t xml:space="preserve">Humanos brinda a la sociedad, al tiempo que busca arraigar una Cultura de Respeto a los Derechos de las y los sinaloenses. </w:t>
            </w:r>
          </w:p>
          <w:p w14:paraId="3FCF4DB8" w14:textId="67AC1908" w:rsidR="00090E1F" w:rsidRPr="006D511D" w:rsidRDefault="00531427" w:rsidP="00333FDC">
            <w:pPr>
              <w:spacing w:after="0" w:line="240" w:lineRule="auto"/>
              <w:jc w:val="both"/>
              <w:rPr>
                <w:rFonts w:eastAsia="Times New Roman" w:cstheme="minorHAnsi"/>
                <w:color w:val="000000"/>
                <w:sz w:val="20"/>
                <w:szCs w:val="20"/>
                <w:lang w:eastAsia="es-MX"/>
              </w:rPr>
            </w:pPr>
            <w:r w:rsidRPr="006D511D">
              <w:rPr>
                <w:rFonts w:eastAsia="Times New Roman" w:cstheme="minorHAnsi"/>
                <w:color w:val="000000"/>
                <w:sz w:val="20"/>
                <w:szCs w:val="20"/>
                <w:lang w:eastAsia="es-MX"/>
              </w:rPr>
              <w:t>L</w:t>
            </w:r>
            <w:r w:rsidR="00090E1F" w:rsidRPr="006D511D">
              <w:rPr>
                <w:rFonts w:eastAsia="Times New Roman" w:cstheme="minorHAnsi"/>
                <w:color w:val="000000"/>
                <w:sz w:val="20"/>
                <w:szCs w:val="20"/>
                <w:lang w:eastAsia="es-MX"/>
              </w:rPr>
              <w:t>as actividades de promoción se</w:t>
            </w:r>
            <w:r w:rsidR="00CD03A6" w:rsidRPr="006D511D">
              <w:rPr>
                <w:rFonts w:eastAsia="Times New Roman" w:cstheme="minorHAnsi"/>
                <w:color w:val="000000"/>
                <w:sz w:val="20"/>
                <w:szCs w:val="20"/>
                <w:lang w:eastAsia="es-MX"/>
              </w:rPr>
              <w:t xml:space="preserve"> justifican</w:t>
            </w:r>
            <w:r w:rsidR="00090E1F" w:rsidRPr="006D511D">
              <w:rPr>
                <w:rFonts w:eastAsia="Times New Roman" w:cstheme="minorHAnsi"/>
                <w:color w:val="000000"/>
                <w:sz w:val="20"/>
                <w:szCs w:val="20"/>
                <w:lang w:eastAsia="es-MX"/>
              </w:rPr>
              <w:t xml:space="preserve"> porque </w:t>
            </w:r>
            <w:r w:rsidR="00CD03A6" w:rsidRPr="006D511D">
              <w:rPr>
                <w:rFonts w:eastAsia="Times New Roman" w:cstheme="minorHAnsi"/>
                <w:color w:val="000000"/>
                <w:sz w:val="20"/>
                <w:szCs w:val="20"/>
                <w:lang w:eastAsia="es-MX"/>
              </w:rPr>
              <w:t>el conocimiento</w:t>
            </w:r>
            <w:r w:rsidR="00090E1F" w:rsidRPr="006D511D">
              <w:rPr>
                <w:rFonts w:eastAsia="Times New Roman" w:cstheme="minorHAnsi"/>
                <w:color w:val="000000"/>
                <w:sz w:val="20"/>
                <w:szCs w:val="20"/>
                <w:lang w:eastAsia="es-MX"/>
              </w:rPr>
              <w:t xml:space="preserve"> de los derechos humanos únicamente es </w:t>
            </w:r>
            <w:r w:rsidR="00CD03A6" w:rsidRPr="006D511D">
              <w:rPr>
                <w:rFonts w:eastAsia="Times New Roman" w:cstheme="minorHAnsi"/>
                <w:color w:val="000000"/>
                <w:sz w:val="20"/>
                <w:szCs w:val="20"/>
                <w:lang w:eastAsia="es-MX"/>
              </w:rPr>
              <w:t>distinguido</w:t>
            </w:r>
            <w:r w:rsidR="00090E1F" w:rsidRPr="006D511D">
              <w:rPr>
                <w:rFonts w:eastAsia="Times New Roman" w:cstheme="minorHAnsi"/>
                <w:color w:val="000000"/>
                <w:sz w:val="20"/>
                <w:szCs w:val="20"/>
                <w:lang w:eastAsia="es-MX"/>
              </w:rPr>
              <w:t xml:space="preserve"> por determinados segmentos de la población, sin embargo, </w:t>
            </w:r>
            <w:r w:rsidR="00160537" w:rsidRPr="006D511D">
              <w:rPr>
                <w:rFonts w:eastAsia="Times New Roman" w:cstheme="minorHAnsi"/>
                <w:color w:val="000000"/>
                <w:sz w:val="20"/>
                <w:szCs w:val="20"/>
                <w:lang w:eastAsia="es-MX"/>
              </w:rPr>
              <w:t>esto</w:t>
            </w:r>
            <w:r w:rsidR="00090E1F" w:rsidRPr="006D511D">
              <w:rPr>
                <w:rFonts w:eastAsia="Times New Roman" w:cstheme="minorHAnsi"/>
                <w:color w:val="000000"/>
                <w:sz w:val="20"/>
                <w:szCs w:val="20"/>
                <w:lang w:eastAsia="es-MX"/>
              </w:rPr>
              <w:t xml:space="preserve"> no es suficiente para que </w:t>
            </w:r>
            <w:r w:rsidRPr="006D511D">
              <w:rPr>
                <w:rFonts w:eastAsia="Times New Roman" w:cstheme="minorHAnsi"/>
                <w:color w:val="000000"/>
                <w:sz w:val="20"/>
                <w:szCs w:val="20"/>
                <w:lang w:eastAsia="es-MX"/>
              </w:rPr>
              <w:t>de</w:t>
            </w:r>
            <w:r w:rsidR="00090E1F" w:rsidRPr="006D511D">
              <w:rPr>
                <w:rFonts w:eastAsia="Times New Roman" w:cstheme="minorHAnsi"/>
                <w:color w:val="000000"/>
                <w:sz w:val="20"/>
                <w:szCs w:val="20"/>
                <w:lang w:eastAsia="es-MX"/>
              </w:rPr>
              <w:t xml:space="preserve"> forma automática sea </w:t>
            </w:r>
            <w:r w:rsidR="002C1718" w:rsidRPr="006D511D">
              <w:rPr>
                <w:rFonts w:eastAsia="Times New Roman" w:cstheme="minorHAnsi"/>
                <w:color w:val="000000"/>
                <w:sz w:val="20"/>
                <w:szCs w:val="20"/>
                <w:lang w:eastAsia="es-MX"/>
              </w:rPr>
              <w:t>conocido</w:t>
            </w:r>
            <w:r w:rsidR="00090E1F" w:rsidRPr="006D511D">
              <w:rPr>
                <w:rFonts w:eastAsia="Times New Roman" w:cstheme="minorHAnsi"/>
                <w:color w:val="000000"/>
                <w:sz w:val="20"/>
                <w:szCs w:val="20"/>
                <w:lang w:eastAsia="es-MX"/>
              </w:rPr>
              <w:t xml:space="preserve"> por todos los habitantes, ni para</w:t>
            </w:r>
            <w:r w:rsidR="002C1718" w:rsidRPr="006D511D">
              <w:rPr>
                <w:rFonts w:eastAsia="Times New Roman" w:cstheme="minorHAnsi"/>
                <w:color w:val="000000"/>
                <w:sz w:val="20"/>
                <w:szCs w:val="20"/>
                <w:lang w:eastAsia="es-MX"/>
              </w:rPr>
              <w:t xml:space="preserve"> evitar</w:t>
            </w:r>
            <w:r w:rsidR="00090E1F" w:rsidRPr="006D511D">
              <w:rPr>
                <w:rFonts w:eastAsia="Times New Roman" w:cstheme="minorHAnsi"/>
                <w:color w:val="000000"/>
                <w:sz w:val="20"/>
                <w:szCs w:val="20"/>
                <w:lang w:eastAsia="es-MX"/>
              </w:rPr>
              <w:t xml:space="preserve"> </w:t>
            </w:r>
            <w:r w:rsidR="002C1718" w:rsidRPr="006D511D">
              <w:rPr>
                <w:rFonts w:eastAsia="Times New Roman" w:cstheme="minorHAnsi"/>
                <w:color w:val="000000"/>
                <w:sz w:val="20"/>
                <w:szCs w:val="20"/>
                <w:lang w:eastAsia="es-MX"/>
              </w:rPr>
              <w:t xml:space="preserve">la violación de </w:t>
            </w:r>
            <w:r w:rsidR="00075172" w:rsidRPr="006D511D">
              <w:rPr>
                <w:rFonts w:eastAsia="Times New Roman" w:cstheme="minorHAnsi"/>
                <w:color w:val="000000"/>
                <w:sz w:val="20"/>
                <w:szCs w:val="20"/>
                <w:lang w:eastAsia="es-MX"/>
              </w:rPr>
              <w:t>dichos derechos</w:t>
            </w:r>
            <w:r w:rsidR="002C1718" w:rsidRPr="006D511D">
              <w:rPr>
                <w:rFonts w:eastAsia="Times New Roman" w:cstheme="minorHAnsi"/>
                <w:color w:val="000000"/>
                <w:sz w:val="20"/>
                <w:szCs w:val="20"/>
                <w:lang w:eastAsia="es-MX"/>
              </w:rPr>
              <w:t>. En este sentido, l</w:t>
            </w:r>
            <w:r w:rsidR="0032039E" w:rsidRPr="006D511D">
              <w:rPr>
                <w:rFonts w:eastAsia="Times New Roman" w:cstheme="minorHAnsi"/>
                <w:color w:val="000000"/>
                <w:sz w:val="20"/>
                <w:szCs w:val="20"/>
                <w:lang w:eastAsia="es-MX"/>
              </w:rPr>
              <w:t xml:space="preserve">a obligación de promover los derechos humanos tiene como objetivo que las personas conozcan sus derechos y mecanismos de defensa, así como ampliar la base de realización de los derechos fundamentales, por lo </w:t>
            </w:r>
            <w:r w:rsidR="00892A1B" w:rsidRPr="006D511D">
              <w:rPr>
                <w:rFonts w:eastAsia="Times New Roman" w:cstheme="minorHAnsi"/>
                <w:color w:val="000000"/>
                <w:sz w:val="20"/>
                <w:szCs w:val="20"/>
                <w:lang w:eastAsia="es-MX"/>
              </w:rPr>
              <w:t>que, es</w:t>
            </w:r>
            <w:r w:rsidR="00090E1F" w:rsidRPr="006D511D">
              <w:rPr>
                <w:rFonts w:eastAsia="Times New Roman" w:cstheme="minorHAnsi"/>
                <w:color w:val="000000"/>
                <w:sz w:val="20"/>
                <w:szCs w:val="20"/>
                <w:lang w:eastAsia="es-MX"/>
              </w:rPr>
              <w:t xml:space="preserve"> necesaria su divulgación a través de múltiples instancias y a varios niveles para garantizar su cumplimiento.</w:t>
            </w:r>
          </w:p>
          <w:p w14:paraId="5824CF2C" w14:textId="00B1259D" w:rsidR="00384F8A" w:rsidRDefault="00E834D2" w:rsidP="0080798F">
            <w:pPr>
              <w:spacing w:after="0" w:line="240" w:lineRule="auto"/>
              <w:jc w:val="both"/>
              <w:rPr>
                <w:rFonts w:eastAsia="Times New Roman" w:cstheme="minorHAnsi"/>
                <w:color w:val="000000"/>
                <w:sz w:val="20"/>
                <w:szCs w:val="20"/>
                <w:lang w:eastAsia="es-MX"/>
              </w:rPr>
            </w:pPr>
            <w:r w:rsidRPr="006D511D">
              <w:rPr>
                <w:rFonts w:eastAsia="Times New Roman" w:cstheme="minorHAnsi"/>
                <w:color w:val="000000"/>
                <w:sz w:val="20"/>
                <w:szCs w:val="20"/>
                <w:lang w:eastAsia="es-MX"/>
              </w:rPr>
              <w:t xml:space="preserve">Un estudio de opinión pública </w:t>
            </w:r>
            <w:r w:rsidR="00C5412C" w:rsidRPr="006D511D">
              <w:rPr>
                <w:rFonts w:eastAsia="Times New Roman" w:cstheme="minorHAnsi"/>
                <w:color w:val="000000"/>
                <w:sz w:val="20"/>
                <w:szCs w:val="20"/>
                <w:lang w:eastAsia="es-MX"/>
              </w:rPr>
              <w:t xml:space="preserve">sobre </w:t>
            </w:r>
            <w:r w:rsidRPr="006D511D">
              <w:rPr>
                <w:rFonts w:eastAsia="Times New Roman" w:cstheme="minorHAnsi"/>
                <w:color w:val="000000"/>
                <w:sz w:val="20"/>
                <w:szCs w:val="20"/>
                <w:lang w:eastAsia="es-MX"/>
              </w:rPr>
              <w:t xml:space="preserve">la </w:t>
            </w:r>
            <w:r w:rsidR="00C5412C" w:rsidRPr="006D511D">
              <w:rPr>
                <w:rFonts w:eastAsia="Times New Roman" w:cstheme="minorHAnsi"/>
                <w:color w:val="000000"/>
                <w:sz w:val="20"/>
                <w:szCs w:val="20"/>
                <w:lang w:eastAsia="es-MX"/>
              </w:rPr>
              <w:t>“P</w:t>
            </w:r>
            <w:r w:rsidRPr="006D511D">
              <w:rPr>
                <w:rFonts w:eastAsia="Times New Roman" w:cstheme="minorHAnsi"/>
                <w:color w:val="000000"/>
                <w:sz w:val="20"/>
                <w:szCs w:val="20"/>
                <w:lang w:eastAsia="es-MX"/>
              </w:rPr>
              <w:t xml:space="preserve">ercepción sobre los derechos humanos en general y situación en </w:t>
            </w:r>
            <w:r w:rsidR="00104F59" w:rsidRPr="006D511D">
              <w:rPr>
                <w:rFonts w:eastAsia="Times New Roman" w:cstheme="minorHAnsi"/>
                <w:color w:val="000000"/>
                <w:sz w:val="20"/>
                <w:szCs w:val="20"/>
                <w:lang w:eastAsia="es-MX"/>
              </w:rPr>
              <w:t xml:space="preserve">Sinaloa, </w:t>
            </w:r>
            <w:r w:rsidRPr="006D511D">
              <w:rPr>
                <w:rFonts w:eastAsia="Times New Roman" w:cstheme="minorHAnsi"/>
                <w:color w:val="000000"/>
                <w:sz w:val="20"/>
                <w:szCs w:val="20"/>
                <w:lang w:eastAsia="es-MX"/>
              </w:rPr>
              <w:t>Evaluación de la gestión institucional de la Comisión Estatal de los Derechos Humanos de Sinaloa</w:t>
            </w:r>
            <w:r w:rsidR="00C5412C" w:rsidRPr="006D511D">
              <w:rPr>
                <w:rFonts w:eastAsia="Times New Roman" w:cstheme="minorHAnsi"/>
                <w:color w:val="000000"/>
                <w:sz w:val="20"/>
                <w:szCs w:val="20"/>
                <w:lang w:eastAsia="es-MX"/>
              </w:rPr>
              <w:t>”</w:t>
            </w:r>
            <w:r w:rsidRPr="006D511D">
              <w:rPr>
                <w:rFonts w:eastAsia="Times New Roman" w:cstheme="minorHAnsi"/>
                <w:color w:val="000000"/>
                <w:sz w:val="20"/>
                <w:szCs w:val="20"/>
                <w:lang w:eastAsia="es-MX"/>
              </w:rPr>
              <w:t>,</w:t>
            </w:r>
            <w:r w:rsidR="00824955" w:rsidRPr="006D511D">
              <w:rPr>
                <w:rFonts w:eastAsia="Times New Roman" w:cstheme="minorHAnsi"/>
                <w:color w:val="000000"/>
                <w:sz w:val="20"/>
                <w:szCs w:val="20"/>
                <w:lang w:eastAsia="es-MX"/>
              </w:rPr>
              <w:t xml:space="preserve"> publicado en 2022,</w:t>
            </w:r>
            <w:r w:rsidRPr="006D511D">
              <w:rPr>
                <w:rFonts w:eastAsia="Times New Roman" w:cstheme="minorHAnsi"/>
                <w:color w:val="000000"/>
                <w:sz w:val="20"/>
                <w:szCs w:val="20"/>
                <w:lang w:eastAsia="es-MX"/>
              </w:rPr>
              <w:t xml:space="preserve"> </w:t>
            </w:r>
            <w:r w:rsidR="00104F59" w:rsidRPr="006D511D">
              <w:rPr>
                <w:rFonts w:eastAsia="Times New Roman" w:cstheme="minorHAnsi"/>
                <w:color w:val="000000"/>
                <w:sz w:val="20"/>
                <w:szCs w:val="20"/>
                <w:lang w:eastAsia="es-MX"/>
              </w:rPr>
              <w:t>aplicó</w:t>
            </w:r>
            <w:r w:rsidR="004C42FF" w:rsidRPr="006D511D">
              <w:rPr>
                <w:rFonts w:eastAsia="Times New Roman" w:cstheme="minorHAnsi"/>
                <w:color w:val="000000"/>
                <w:sz w:val="20"/>
                <w:szCs w:val="20"/>
                <w:lang w:eastAsia="es-MX"/>
              </w:rPr>
              <w:t xml:space="preserve"> una encuesta cara a cara</w:t>
            </w:r>
            <w:r w:rsidR="00383D08" w:rsidRPr="006D511D">
              <w:rPr>
                <w:rFonts w:eastAsia="Times New Roman" w:cstheme="minorHAnsi"/>
                <w:color w:val="000000"/>
                <w:sz w:val="20"/>
                <w:szCs w:val="20"/>
                <w:lang w:eastAsia="es-MX"/>
              </w:rPr>
              <w:t xml:space="preserve"> a </w:t>
            </w:r>
            <w:r w:rsidR="00A7594F" w:rsidRPr="0082377B">
              <w:rPr>
                <w:rFonts w:eastAsia="Times New Roman" w:cstheme="minorHAnsi"/>
                <w:color w:val="000000"/>
                <w:sz w:val="20"/>
                <w:szCs w:val="20"/>
                <w:lang w:eastAsia="es-MX"/>
              </w:rPr>
              <w:t>1</w:t>
            </w:r>
            <w:r w:rsidR="00071FA7">
              <w:rPr>
                <w:rFonts w:eastAsia="Times New Roman" w:cstheme="minorHAnsi"/>
                <w:color w:val="000000"/>
                <w:sz w:val="20"/>
                <w:szCs w:val="20"/>
                <w:lang w:eastAsia="es-MX"/>
              </w:rPr>
              <w:t>,</w:t>
            </w:r>
            <w:r w:rsidR="00A7594F" w:rsidRPr="0082377B">
              <w:rPr>
                <w:rFonts w:eastAsia="Times New Roman" w:cstheme="minorHAnsi"/>
                <w:color w:val="000000"/>
                <w:sz w:val="20"/>
                <w:szCs w:val="20"/>
                <w:lang w:eastAsia="es-MX"/>
              </w:rPr>
              <w:t>200</w:t>
            </w:r>
            <w:r w:rsidR="00A7594F">
              <w:rPr>
                <w:rFonts w:eastAsia="Times New Roman" w:cstheme="minorHAnsi"/>
                <w:color w:val="000000"/>
                <w:sz w:val="20"/>
                <w:szCs w:val="20"/>
                <w:lang w:eastAsia="es-MX"/>
              </w:rPr>
              <w:t xml:space="preserve"> </w:t>
            </w:r>
            <w:r w:rsidR="00383D08" w:rsidRPr="006D511D">
              <w:rPr>
                <w:rFonts w:eastAsia="Times New Roman" w:cstheme="minorHAnsi"/>
                <w:color w:val="000000"/>
                <w:sz w:val="20"/>
                <w:szCs w:val="20"/>
                <w:lang w:eastAsia="es-MX"/>
              </w:rPr>
              <w:t>personas</w:t>
            </w:r>
            <w:r w:rsidR="004C42FF" w:rsidRPr="006D511D">
              <w:rPr>
                <w:rFonts w:eastAsia="Times New Roman" w:cstheme="minorHAnsi"/>
                <w:color w:val="000000"/>
                <w:sz w:val="20"/>
                <w:szCs w:val="20"/>
                <w:lang w:eastAsia="es-MX"/>
              </w:rPr>
              <w:t xml:space="preserve"> en el estado de Sinaloa para conocer la percepción </w:t>
            </w:r>
            <w:r w:rsidR="00383D08" w:rsidRPr="006D511D">
              <w:rPr>
                <w:rFonts w:eastAsia="Times New Roman" w:cstheme="minorHAnsi"/>
                <w:color w:val="000000"/>
                <w:sz w:val="20"/>
                <w:szCs w:val="20"/>
                <w:lang w:eastAsia="es-MX"/>
              </w:rPr>
              <w:t>sobre los derechos humanos y su situación, así como indagar en el grado de conocimiento sobre la Comisión Estatal de los Derechos Humanos de Sinaloa y evaluar su desempeño.</w:t>
            </w:r>
            <w:r w:rsidR="00FC32DF">
              <w:rPr>
                <w:rFonts w:eastAsia="Times New Roman" w:cstheme="minorHAnsi"/>
                <w:color w:val="000000"/>
                <w:sz w:val="20"/>
                <w:szCs w:val="20"/>
                <w:lang w:eastAsia="es-MX"/>
              </w:rPr>
              <w:t xml:space="preserve"> </w:t>
            </w:r>
            <w:r w:rsidR="00384F8A" w:rsidRPr="006D511D">
              <w:rPr>
                <w:rFonts w:eastAsia="Times New Roman" w:cstheme="minorHAnsi"/>
                <w:color w:val="000000"/>
                <w:sz w:val="20"/>
                <w:szCs w:val="20"/>
                <w:lang w:eastAsia="es-MX"/>
              </w:rPr>
              <w:t xml:space="preserve">Entre los principales resultados se </w:t>
            </w:r>
            <w:r w:rsidR="00824955" w:rsidRPr="006D511D">
              <w:rPr>
                <w:rFonts w:eastAsia="Times New Roman" w:cstheme="minorHAnsi"/>
                <w:color w:val="000000"/>
                <w:sz w:val="20"/>
                <w:szCs w:val="20"/>
                <w:lang w:eastAsia="es-MX"/>
              </w:rPr>
              <w:t>encuentra que</w:t>
            </w:r>
            <w:r w:rsidR="00A06048" w:rsidRPr="006D511D">
              <w:rPr>
                <w:rFonts w:eastAsia="Times New Roman" w:cstheme="minorHAnsi"/>
                <w:color w:val="000000"/>
                <w:sz w:val="20"/>
                <w:szCs w:val="20"/>
                <w:lang w:eastAsia="es-MX"/>
              </w:rPr>
              <w:t>,</w:t>
            </w:r>
            <w:r w:rsidR="00EA40FD" w:rsidRPr="006D511D">
              <w:rPr>
                <w:rFonts w:eastAsia="Times New Roman" w:cstheme="minorHAnsi"/>
                <w:color w:val="000000"/>
                <w:sz w:val="20"/>
                <w:szCs w:val="20"/>
                <w:lang w:eastAsia="es-MX"/>
              </w:rPr>
              <w:t xml:space="preserve"> </w:t>
            </w:r>
            <w:r w:rsidR="0080798F" w:rsidRPr="006D511D">
              <w:rPr>
                <w:rFonts w:eastAsia="Times New Roman" w:cstheme="minorHAnsi"/>
                <w:color w:val="000000"/>
                <w:sz w:val="20"/>
                <w:szCs w:val="20"/>
                <w:lang w:eastAsia="es-MX"/>
              </w:rPr>
              <w:t>en materia de capacitación, promoción y divulgación de los derechos humanos</w:t>
            </w:r>
            <w:r w:rsidR="00C764BD" w:rsidRPr="006D511D">
              <w:rPr>
                <w:rFonts w:eastAsia="Times New Roman" w:cstheme="minorHAnsi"/>
                <w:color w:val="000000"/>
                <w:sz w:val="20"/>
                <w:szCs w:val="20"/>
                <w:lang w:eastAsia="es-MX"/>
              </w:rPr>
              <w:t xml:space="preserve">, </w:t>
            </w:r>
            <w:r w:rsidR="0080798F" w:rsidRPr="006D511D">
              <w:rPr>
                <w:rFonts w:eastAsia="Times New Roman" w:cstheme="minorHAnsi"/>
                <w:color w:val="000000"/>
                <w:sz w:val="20"/>
                <w:szCs w:val="20"/>
                <w:lang w:eastAsia="es-MX"/>
              </w:rPr>
              <w:t>una reducida minoría afirma haber recibido alguna plática o</w:t>
            </w:r>
            <w:r w:rsidR="007B055C" w:rsidRPr="006D511D">
              <w:rPr>
                <w:rFonts w:eastAsia="Times New Roman" w:cstheme="minorHAnsi"/>
                <w:color w:val="000000"/>
                <w:sz w:val="20"/>
                <w:szCs w:val="20"/>
                <w:lang w:eastAsia="es-MX"/>
              </w:rPr>
              <w:t xml:space="preserve"> </w:t>
            </w:r>
            <w:r w:rsidR="0080798F" w:rsidRPr="006D511D">
              <w:rPr>
                <w:rFonts w:eastAsia="Times New Roman" w:cstheme="minorHAnsi"/>
                <w:color w:val="000000"/>
                <w:sz w:val="20"/>
                <w:szCs w:val="20"/>
                <w:lang w:eastAsia="es-MX"/>
              </w:rPr>
              <w:t>asesoría sobre derechos humanos</w:t>
            </w:r>
            <w:r w:rsidR="00FC32DF">
              <w:rPr>
                <w:rFonts w:eastAsia="Times New Roman" w:cstheme="minorHAnsi"/>
                <w:color w:val="000000"/>
                <w:sz w:val="20"/>
                <w:szCs w:val="20"/>
                <w:lang w:eastAsia="es-MX"/>
              </w:rPr>
              <w:t>,</w:t>
            </w:r>
            <w:r w:rsidR="0080798F" w:rsidRPr="006D511D">
              <w:rPr>
                <w:rFonts w:eastAsia="Times New Roman" w:cstheme="minorHAnsi"/>
                <w:color w:val="000000"/>
                <w:sz w:val="20"/>
                <w:szCs w:val="20"/>
                <w:lang w:eastAsia="es-MX"/>
              </w:rPr>
              <w:t xml:space="preserve"> </w:t>
            </w:r>
            <w:r w:rsidR="007B055C" w:rsidRPr="006D511D">
              <w:rPr>
                <w:rFonts w:eastAsia="Times New Roman" w:cstheme="minorHAnsi"/>
                <w:color w:val="000000"/>
                <w:sz w:val="20"/>
                <w:szCs w:val="20"/>
                <w:lang w:eastAsia="es-MX"/>
              </w:rPr>
              <w:t>(</w:t>
            </w:r>
            <w:r w:rsidR="0080798F" w:rsidRPr="006D511D">
              <w:rPr>
                <w:rFonts w:eastAsia="Times New Roman" w:cstheme="minorHAnsi"/>
                <w:color w:val="000000"/>
                <w:sz w:val="20"/>
                <w:szCs w:val="20"/>
                <w:lang w:eastAsia="es-MX"/>
              </w:rPr>
              <w:t>13</w:t>
            </w:r>
            <w:r w:rsidR="007B055C" w:rsidRPr="006D511D">
              <w:rPr>
                <w:rFonts w:eastAsia="Times New Roman" w:cstheme="minorHAnsi"/>
                <w:color w:val="000000"/>
                <w:sz w:val="20"/>
                <w:szCs w:val="20"/>
                <w:lang w:eastAsia="es-MX"/>
              </w:rPr>
              <w:t>%)</w:t>
            </w:r>
            <w:r w:rsidR="00FC32DF">
              <w:rPr>
                <w:rFonts w:eastAsia="Times New Roman" w:cstheme="minorHAnsi"/>
                <w:color w:val="000000"/>
                <w:sz w:val="20"/>
                <w:szCs w:val="20"/>
                <w:lang w:eastAsia="es-MX"/>
              </w:rPr>
              <w:t>,</w:t>
            </w:r>
            <w:r w:rsidR="0080798F" w:rsidRPr="006D511D">
              <w:rPr>
                <w:rFonts w:eastAsia="Times New Roman" w:cstheme="minorHAnsi"/>
                <w:color w:val="000000"/>
                <w:sz w:val="20"/>
                <w:szCs w:val="20"/>
                <w:lang w:eastAsia="es-MX"/>
              </w:rPr>
              <w:t xml:space="preserve"> que usualmente fue dada en la escuela</w:t>
            </w:r>
            <w:r w:rsidR="007B055C" w:rsidRPr="006D511D">
              <w:rPr>
                <w:rFonts w:eastAsia="Times New Roman" w:cstheme="minorHAnsi"/>
                <w:color w:val="000000"/>
                <w:sz w:val="20"/>
                <w:szCs w:val="20"/>
                <w:lang w:eastAsia="es-MX"/>
              </w:rPr>
              <w:t>.</w:t>
            </w:r>
          </w:p>
          <w:p w14:paraId="2DF1E56D" w14:textId="5FDC733C" w:rsidR="00D3664C" w:rsidRPr="00333FDC" w:rsidRDefault="00333FDC" w:rsidP="00333FDC">
            <w:pPr>
              <w:spacing w:after="0" w:line="240" w:lineRule="auto"/>
              <w:jc w:val="both"/>
              <w:rPr>
                <w:rFonts w:eastAsia="Times New Roman" w:cstheme="minorHAnsi"/>
                <w:color w:val="000000"/>
                <w:sz w:val="20"/>
                <w:szCs w:val="20"/>
                <w:lang w:eastAsia="es-MX"/>
              </w:rPr>
            </w:pPr>
            <w:r w:rsidRPr="00333FDC">
              <w:rPr>
                <w:rFonts w:eastAsia="Times New Roman" w:cstheme="minorHAnsi"/>
                <w:color w:val="000000"/>
                <w:sz w:val="20"/>
                <w:szCs w:val="20"/>
                <w:lang w:eastAsia="es-MX"/>
              </w:rPr>
              <w:t xml:space="preserve">Por lo </w:t>
            </w:r>
            <w:r w:rsidR="007B055C">
              <w:rPr>
                <w:rFonts w:eastAsia="Times New Roman" w:cstheme="minorHAnsi"/>
                <w:color w:val="000000"/>
                <w:sz w:val="20"/>
                <w:szCs w:val="20"/>
                <w:lang w:eastAsia="es-MX"/>
              </w:rPr>
              <w:t>anterior</w:t>
            </w:r>
            <w:r w:rsidRPr="00333FDC">
              <w:rPr>
                <w:rFonts w:eastAsia="Times New Roman" w:cstheme="minorHAnsi"/>
                <w:color w:val="000000"/>
                <w:sz w:val="20"/>
                <w:szCs w:val="20"/>
                <w:lang w:eastAsia="es-MX"/>
              </w:rPr>
              <w:t>, mediante el Programa presupuestario Política de Protección y Promoción de los Derechos Humanos, se pretende consolidar la calidad de los servicios que la Comisión Estatal de los Derechos Humanos brinda a la sociedad, al tiempo que busca arraigar una Cultura de Respeto a los Derechos de las y los sinaloenses.</w:t>
            </w:r>
          </w:p>
        </w:tc>
      </w:tr>
    </w:tbl>
    <w:p w14:paraId="268915BE" w14:textId="77777777" w:rsidR="000F6D2B" w:rsidRDefault="000F6D2B" w:rsidP="000E2871"/>
    <w:sectPr w:rsidR="000F6D2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8198B"/>
    <w:multiLevelType w:val="hybridMultilevel"/>
    <w:tmpl w:val="4572B2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9C44A4D"/>
    <w:multiLevelType w:val="hybridMultilevel"/>
    <w:tmpl w:val="7AE2C5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88924459">
    <w:abstractNumId w:val="0"/>
  </w:num>
  <w:num w:numId="2" w16cid:durableId="18735658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C99"/>
    <w:rsid w:val="000327A6"/>
    <w:rsid w:val="00050DD5"/>
    <w:rsid w:val="00071FA7"/>
    <w:rsid w:val="00075172"/>
    <w:rsid w:val="00090E1F"/>
    <w:rsid w:val="00090E5F"/>
    <w:rsid w:val="0009105D"/>
    <w:rsid w:val="000E2871"/>
    <w:rsid w:val="000F6D2B"/>
    <w:rsid w:val="00104F59"/>
    <w:rsid w:val="001249FA"/>
    <w:rsid w:val="00127E28"/>
    <w:rsid w:val="0014796B"/>
    <w:rsid w:val="00160537"/>
    <w:rsid w:val="001810C0"/>
    <w:rsid w:val="0018778C"/>
    <w:rsid w:val="00257EA1"/>
    <w:rsid w:val="00266C1C"/>
    <w:rsid w:val="002B627E"/>
    <w:rsid w:val="002C1718"/>
    <w:rsid w:val="002C67B0"/>
    <w:rsid w:val="002F239E"/>
    <w:rsid w:val="0032039E"/>
    <w:rsid w:val="003218F6"/>
    <w:rsid w:val="00333FDC"/>
    <w:rsid w:val="00347B72"/>
    <w:rsid w:val="00383D08"/>
    <w:rsid w:val="00384F8A"/>
    <w:rsid w:val="003E0E36"/>
    <w:rsid w:val="003F625D"/>
    <w:rsid w:val="0041601F"/>
    <w:rsid w:val="00474ACA"/>
    <w:rsid w:val="00475D2B"/>
    <w:rsid w:val="004B31E6"/>
    <w:rsid w:val="004C42FF"/>
    <w:rsid w:val="004E5BF7"/>
    <w:rsid w:val="00526A15"/>
    <w:rsid w:val="00531427"/>
    <w:rsid w:val="00546B16"/>
    <w:rsid w:val="00682983"/>
    <w:rsid w:val="006C4ECC"/>
    <w:rsid w:val="006D511D"/>
    <w:rsid w:val="006E16BC"/>
    <w:rsid w:val="00764FA7"/>
    <w:rsid w:val="007B055C"/>
    <w:rsid w:val="007C1784"/>
    <w:rsid w:val="007C3D72"/>
    <w:rsid w:val="007C4D6D"/>
    <w:rsid w:val="007F0511"/>
    <w:rsid w:val="0080798F"/>
    <w:rsid w:val="0082377B"/>
    <w:rsid w:val="00824955"/>
    <w:rsid w:val="0084025B"/>
    <w:rsid w:val="00872A3E"/>
    <w:rsid w:val="008852A7"/>
    <w:rsid w:val="00892A1B"/>
    <w:rsid w:val="008A0CC1"/>
    <w:rsid w:val="00946E73"/>
    <w:rsid w:val="009767E2"/>
    <w:rsid w:val="00986633"/>
    <w:rsid w:val="009B2991"/>
    <w:rsid w:val="009C419D"/>
    <w:rsid w:val="009D1938"/>
    <w:rsid w:val="009E5DC9"/>
    <w:rsid w:val="00A004D1"/>
    <w:rsid w:val="00A06048"/>
    <w:rsid w:val="00A12F44"/>
    <w:rsid w:val="00A7594F"/>
    <w:rsid w:val="00AB15C8"/>
    <w:rsid w:val="00AC7DB4"/>
    <w:rsid w:val="00AD1C99"/>
    <w:rsid w:val="00AE08D8"/>
    <w:rsid w:val="00B342F1"/>
    <w:rsid w:val="00B554F0"/>
    <w:rsid w:val="00BC37E1"/>
    <w:rsid w:val="00BE5074"/>
    <w:rsid w:val="00C35E6E"/>
    <w:rsid w:val="00C42757"/>
    <w:rsid w:val="00C45F30"/>
    <w:rsid w:val="00C5412C"/>
    <w:rsid w:val="00C75A93"/>
    <w:rsid w:val="00C764BD"/>
    <w:rsid w:val="00C9101F"/>
    <w:rsid w:val="00CB1D37"/>
    <w:rsid w:val="00CB4F50"/>
    <w:rsid w:val="00CB75F2"/>
    <w:rsid w:val="00CC4FDD"/>
    <w:rsid w:val="00CD03A6"/>
    <w:rsid w:val="00D002C0"/>
    <w:rsid w:val="00D05662"/>
    <w:rsid w:val="00D34EED"/>
    <w:rsid w:val="00D3664C"/>
    <w:rsid w:val="00D67C7F"/>
    <w:rsid w:val="00D7403B"/>
    <w:rsid w:val="00D922C4"/>
    <w:rsid w:val="00DA16E0"/>
    <w:rsid w:val="00DA64BE"/>
    <w:rsid w:val="00DD757C"/>
    <w:rsid w:val="00DF050F"/>
    <w:rsid w:val="00DF27D3"/>
    <w:rsid w:val="00E40D6F"/>
    <w:rsid w:val="00E616A0"/>
    <w:rsid w:val="00E7374D"/>
    <w:rsid w:val="00E75099"/>
    <w:rsid w:val="00E81222"/>
    <w:rsid w:val="00E834D2"/>
    <w:rsid w:val="00E84F88"/>
    <w:rsid w:val="00EA40FD"/>
    <w:rsid w:val="00F47697"/>
    <w:rsid w:val="00FB4E2E"/>
    <w:rsid w:val="00FC0B8E"/>
    <w:rsid w:val="00FC32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9118B"/>
  <w15:chartTrackingRefBased/>
  <w15:docId w15:val="{5FD40A1E-0986-4712-BF6A-7146CC4EA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33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33FDC"/>
    <w:pPr>
      <w:ind w:left="720"/>
      <w:contextualSpacing/>
    </w:pPr>
  </w:style>
  <w:style w:type="paragraph" w:customStyle="1" w:styleId="Default">
    <w:name w:val="Default"/>
    <w:rsid w:val="00AB15C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478497">
      <w:bodyDiv w:val="1"/>
      <w:marLeft w:val="0"/>
      <w:marRight w:val="0"/>
      <w:marTop w:val="0"/>
      <w:marBottom w:val="0"/>
      <w:divBdr>
        <w:top w:val="none" w:sz="0" w:space="0" w:color="auto"/>
        <w:left w:val="none" w:sz="0" w:space="0" w:color="auto"/>
        <w:bottom w:val="none" w:sz="0" w:space="0" w:color="auto"/>
        <w:right w:val="none" w:sz="0" w:space="0" w:color="auto"/>
      </w:divBdr>
    </w:div>
    <w:div w:id="756245048">
      <w:bodyDiv w:val="1"/>
      <w:marLeft w:val="0"/>
      <w:marRight w:val="0"/>
      <w:marTop w:val="0"/>
      <w:marBottom w:val="0"/>
      <w:divBdr>
        <w:top w:val="none" w:sz="0" w:space="0" w:color="auto"/>
        <w:left w:val="none" w:sz="0" w:space="0" w:color="auto"/>
        <w:bottom w:val="none" w:sz="0" w:space="0" w:color="auto"/>
        <w:right w:val="none" w:sz="0" w:space="0" w:color="auto"/>
      </w:divBdr>
    </w:div>
    <w:div w:id="152104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image" Target="media/image1.jpeg"/><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85311D0-375C-409C-B682-D9B9D8008EB4}" type="doc">
      <dgm:prSet loTypeId="urn:microsoft.com/office/officeart/2005/8/layout/equation1" loCatId="process" qsTypeId="urn:microsoft.com/office/officeart/2005/8/quickstyle/simple1" qsCatId="simple" csTypeId="urn:microsoft.com/office/officeart/2005/8/colors/accent1_1" csCatId="accent1" phldr="1"/>
      <dgm:spPr/>
    </dgm:pt>
    <dgm:pt modelId="{0DFA7583-4EA3-4D62-BB26-5E9E309E8716}">
      <dgm:prSet phldrT="[Texto]"/>
      <dgm:spPr/>
      <dgm:t>
        <a:bodyPr/>
        <a:lstStyle/>
        <a:p>
          <a:r>
            <a:rPr lang="es-MX"/>
            <a:t>Población objetivo o área de enfoque</a:t>
          </a:r>
        </a:p>
      </dgm:t>
    </dgm:pt>
    <dgm:pt modelId="{53FF903F-63F2-4022-BA1E-75BED0EDDA7D}" type="parTrans" cxnId="{7D70BD60-E0E7-4790-BABD-C02FFB455742}">
      <dgm:prSet/>
      <dgm:spPr/>
      <dgm:t>
        <a:bodyPr/>
        <a:lstStyle/>
        <a:p>
          <a:endParaRPr lang="es-MX"/>
        </a:p>
      </dgm:t>
    </dgm:pt>
    <dgm:pt modelId="{C10C04F9-D55C-4B86-8934-62FD26E4DA74}" type="sibTrans" cxnId="{7D70BD60-E0E7-4790-BABD-C02FFB455742}">
      <dgm:prSet/>
      <dgm:spPr/>
      <dgm:t>
        <a:bodyPr/>
        <a:lstStyle/>
        <a:p>
          <a:endParaRPr lang="es-MX"/>
        </a:p>
      </dgm:t>
    </dgm:pt>
    <dgm:pt modelId="{C01C4119-5229-462B-A633-EEB21248BA53}">
      <dgm:prSet phldrT="[Texto]"/>
      <dgm:spPr/>
      <dgm:t>
        <a:bodyPr/>
        <a:lstStyle/>
        <a:p>
          <a:r>
            <a:rPr lang="es-MX"/>
            <a:t>Descripción de la problemática que les afecta</a:t>
          </a:r>
        </a:p>
      </dgm:t>
    </dgm:pt>
    <dgm:pt modelId="{E6ECC408-D7F5-482B-8F9A-F2760E085B0B}" type="parTrans" cxnId="{B3FABDA6-935B-46DB-8B10-57A66461DBDE}">
      <dgm:prSet/>
      <dgm:spPr/>
      <dgm:t>
        <a:bodyPr/>
        <a:lstStyle/>
        <a:p>
          <a:endParaRPr lang="es-MX"/>
        </a:p>
      </dgm:t>
    </dgm:pt>
    <dgm:pt modelId="{4C35927A-6960-4E7F-8DDC-878B32DA9946}" type="sibTrans" cxnId="{B3FABDA6-935B-46DB-8B10-57A66461DBDE}">
      <dgm:prSet/>
      <dgm:spPr/>
      <dgm:t>
        <a:bodyPr/>
        <a:lstStyle/>
        <a:p>
          <a:endParaRPr lang="es-MX"/>
        </a:p>
      </dgm:t>
    </dgm:pt>
    <dgm:pt modelId="{F42F16C2-F47D-41CB-A53D-74D028195831}">
      <dgm:prSet phldrT="[Texto]"/>
      <dgm:spPr/>
      <dgm:t>
        <a:bodyPr/>
        <a:lstStyle/>
        <a:p>
          <a:r>
            <a:rPr lang="es-MX"/>
            <a:t>Problema central de un Pp</a:t>
          </a:r>
        </a:p>
      </dgm:t>
    </dgm:pt>
    <dgm:pt modelId="{896BD077-B06C-47E3-82FF-E395797FB926}" type="parTrans" cxnId="{CE9765E6-CDDC-4874-955C-F66D3ABF77FD}">
      <dgm:prSet/>
      <dgm:spPr/>
      <dgm:t>
        <a:bodyPr/>
        <a:lstStyle/>
        <a:p>
          <a:endParaRPr lang="es-MX"/>
        </a:p>
      </dgm:t>
    </dgm:pt>
    <dgm:pt modelId="{05987862-B9B6-4104-AF88-16FB84DAE255}" type="sibTrans" cxnId="{CE9765E6-CDDC-4874-955C-F66D3ABF77FD}">
      <dgm:prSet/>
      <dgm:spPr/>
      <dgm:t>
        <a:bodyPr/>
        <a:lstStyle/>
        <a:p>
          <a:endParaRPr lang="es-MX"/>
        </a:p>
      </dgm:t>
    </dgm:pt>
    <dgm:pt modelId="{32144997-1FC2-4A69-A687-7E560C8E5E40}" type="pres">
      <dgm:prSet presAssocID="{585311D0-375C-409C-B682-D9B9D8008EB4}" presName="linearFlow" presStyleCnt="0">
        <dgm:presLayoutVars>
          <dgm:dir/>
          <dgm:resizeHandles val="exact"/>
        </dgm:presLayoutVars>
      </dgm:prSet>
      <dgm:spPr/>
    </dgm:pt>
    <dgm:pt modelId="{47694699-AFC5-4FC6-A418-BBB4CD86CE70}" type="pres">
      <dgm:prSet presAssocID="{0DFA7583-4EA3-4D62-BB26-5E9E309E8716}" presName="node" presStyleLbl="node1" presStyleIdx="0" presStyleCnt="3">
        <dgm:presLayoutVars>
          <dgm:bulletEnabled val="1"/>
        </dgm:presLayoutVars>
      </dgm:prSet>
      <dgm:spPr/>
    </dgm:pt>
    <dgm:pt modelId="{F41AD0AF-F05C-40D6-B369-C768CB5F84BD}" type="pres">
      <dgm:prSet presAssocID="{C10C04F9-D55C-4B86-8934-62FD26E4DA74}" presName="spacerL" presStyleCnt="0"/>
      <dgm:spPr/>
    </dgm:pt>
    <dgm:pt modelId="{2ABC5ACD-4EEF-4F68-A1DB-2F08C2B2D1CF}" type="pres">
      <dgm:prSet presAssocID="{C10C04F9-D55C-4B86-8934-62FD26E4DA74}" presName="sibTrans" presStyleLbl="sibTrans2D1" presStyleIdx="0" presStyleCnt="2"/>
      <dgm:spPr/>
    </dgm:pt>
    <dgm:pt modelId="{EAD18196-16F1-4F6F-A3FE-BAE35CFBCA45}" type="pres">
      <dgm:prSet presAssocID="{C10C04F9-D55C-4B86-8934-62FD26E4DA74}" presName="spacerR" presStyleCnt="0"/>
      <dgm:spPr/>
    </dgm:pt>
    <dgm:pt modelId="{4ADA1647-EFA6-4437-A072-7B40B5ED8EE6}" type="pres">
      <dgm:prSet presAssocID="{C01C4119-5229-462B-A633-EEB21248BA53}" presName="node" presStyleLbl="node1" presStyleIdx="1" presStyleCnt="3">
        <dgm:presLayoutVars>
          <dgm:bulletEnabled val="1"/>
        </dgm:presLayoutVars>
      </dgm:prSet>
      <dgm:spPr/>
    </dgm:pt>
    <dgm:pt modelId="{7A6462D7-1B53-46AD-9B71-82D2EDC18C51}" type="pres">
      <dgm:prSet presAssocID="{4C35927A-6960-4E7F-8DDC-878B32DA9946}" presName="spacerL" presStyleCnt="0"/>
      <dgm:spPr/>
    </dgm:pt>
    <dgm:pt modelId="{69FAC3C0-679F-4921-8560-8E65949459AA}" type="pres">
      <dgm:prSet presAssocID="{4C35927A-6960-4E7F-8DDC-878B32DA9946}" presName="sibTrans" presStyleLbl="sibTrans2D1" presStyleIdx="1" presStyleCnt="2"/>
      <dgm:spPr/>
    </dgm:pt>
    <dgm:pt modelId="{E345421F-130C-426A-99A7-02EA10648052}" type="pres">
      <dgm:prSet presAssocID="{4C35927A-6960-4E7F-8DDC-878B32DA9946}" presName="spacerR" presStyleCnt="0"/>
      <dgm:spPr/>
    </dgm:pt>
    <dgm:pt modelId="{1DE999C7-ECBC-4885-BD90-F1F7B8B1D5F7}" type="pres">
      <dgm:prSet presAssocID="{F42F16C2-F47D-41CB-A53D-74D028195831}" presName="node" presStyleLbl="node1" presStyleIdx="2" presStyleCnt="3">
        <dgm:presLayoutVars>
          <dgm:bulletEnabled val="1"/>
        </dgm:presLayoutVars>
      </dgm:prSet>
      <dgm:spPr/>
    </dgm:pt>
  </dgm:ptLst>
  <dgm:cxnLst>
    <dgm:cxn modelId="{B9A8F527-8CEE-44C3-81FC-FDA10BB4971C}" type="presOf" srcId="{C10C04F9-D55C-4B86-8934-62FD26E4DA74}" destId="{2ABC5ACD-4EEF-4F68-A1DB-2F08C2B2D1CF}" srcOrd="0" destOrd="0" presId="urn:microsoft.com/office/officeart/2005/8/layout/equation1"/>
    <dgm:cxn modelId="{0F93205B-23ED-46BC-B4F8-D9B67BD03458}" type="presOf" srcId="{C01C4119-5229-462B-A633-EEB21248BA53}" destId="{4ADA1647-EFA6-4437-A072-7B40B5ED8EE6}" srcOrd="0" destOrd="0" presId="urn:microsoft.com/office/officeart/2005/8/layout/equation1"/>
    <dgm:cxn modelId="{7D70BD60-E0E7-4790-BABD-C02FFB455742}" srcId="{585311D0-375C-409C-B682-D9B9D8008EB4}" destId="{0DFA7583-4EA3-4D62-BB26-5E9E309E8716}" srcOrd="0" destOrd="0" parTransId="{53FF903F-63F2-4022-BA1E-75BED0EDDA7D}" sibTransId="{C10C04F9-D55C-4B86-8934-62FD26E4DA74}"/>
    <dgm:cxn modelId="{44F9626C-5965-4C59-B927-D5C430B64D77}" type="presOf" srcId="{585311D0-375C-409C-B682-D9B9D8008EB4}" destId="{32144997-1FC2-4A69-A687-7E560C8E5E40}" srcOrd="0" destOrd="0" presId="urn:microsoft.com/office/officeart/2005/8/layout/equation1"/>
    <dgm:cxn modelId="{0CB10158-40A0-478F-A0E8-519588995543}" type="presOf" srcId="{F42F16C2-F47D-41CB-A53D-74D028195831}" destId="{1DE999C7-ECBC-4885-BD90-F1F7B8B1D5F7}" srcOrd="0" destOrd="0" presId="urn:microsoft.com/office/officeart/2005/8/layout/equation1"/>
    <dgm:cxn modelId="{31306979-4E89-488E-8C93-A443C8A0D860}" type="presOf" srcId="{0DFA7583-4EA3-4D62-BB26-5E9E309E8716}" destId="{47694699-AFC5-4FC6-A418-BBB4CD86CE70}" srcOrd="0" destOrd="0" presId="urn:microsoft.com/office/officeart/2005/8/layout/equation1"/>
    <dgm:cxn modelId="{B3FABDA6-935B-46DB-8B10-57A66461DBDE}" srcId="{585311D0-375C-409C-B682-D9B9D8008EB4}" destId="{C01C4119-5229-462B-A633-EEB21248BA53}" srcOrd="1" destOrd="0" parTransId="{E6ECC408-D7F5-482B-8F9A-F2760E085B0B}" sibTransId="{4C35927A-6960-4E7F-8DDC-878B32DA9946}"/>
    <dgm:cxn modelId="{19E0AABB-ABF4-4467-8C93-4A2A94FA517A}" type="presOf" srcId="{4C35927A-6960-4E7F-8DDC-878B32DA9946}" destId="{69FAC3C0-679F-4921-8560-8E65949459AA}" srcOrd="0" destOrd="0" presId="urn:microsoft.com/office/officeart/2005/8/layout/equation1"/>
    <dgm:cxn modelId="{CE9765E6-CDDC-4874-955C-F66D3ABF77FD}" srcId="{585311D0-375C-409C-B682-D9B9D8008EB4}" destId="{F42F16C2-F47D-41CB-A53D-74D028195831}" srcOrd="2" destOrd="0" parTransId="{896BD077-B06C-47E3-82FF-E395797FB926}" sibTransId="{05987862-B9B6-4104-AF88-16FB84DAE255}"/>
    <dgm:cxn modelId="{F980A20E-8167-40D5-8B32-C4B99AB411F2}" type="presParOf" srcId="{32144997-1FC2-4A69-A687-7E560C8E5E40}" destId="{47694699-AFC5-4FC6-A418-BBB4CD86CE70}" srcOrd="0" destOrd="0" presId="urn:microsoft.com/office/officeart/2005/8/layout/equation1"/>
    <dgm:cxn modelId="{3E16F073-EE82-41DD-828E-C9EB23CFC8FA}" type="presParOf" srcId="{32144997-1FC2-4A69-A687-7E560C8E5E40}" destId="{F41AD0AF-F05C-40D6-B369-C768CB5F84BD}" srcOrd="1" destOrd="0" presId="urn:microsoft.com/office/officeart/2005/8/layout/equation1"/>
    <dgm:cxn modelId="{C896E2AD-D95B-447C-962A-2F1A025074D6}" type="presParOf" srcId="{32144997-1FC2-4A69-A687-7E560C8E5E40}" destId="{2ABC5ACD-4EEF-4F68-A1DB-2F08C2B2D1CF}" srcOrd="2" destOrd="0" presId="urn:microsoft.com/office/officeart/2005/8/layout/equation1"/>
    <dgm:cxn modelId="{DEDD0621-BD5F-4E7A-8D1E-A3D602FB7B3F}" type="presParOf" srcId="{32144997-1FC2-4A69-A687-7E560C8E5E40}" destId="{EAD18196-16F1-4F6F-A3FE-BAE35CFBCA45}" srcOrd="3" destOrd="0" presId="urn:microsoft.com/office/officeart/2005/8/layout/equation1"/>
    <dgm:cxn modelId="{DA057964-E10D-4F8E-8ADB-0D262F37BEDC}" type="presParOf" srcId="{32144997-1FC2-4A69-A687-7E560C8E5E40}" destId="{4ADA1647-EFA6-4437-A072-7B40B5ED8EE6}" srcOrd="4" destOrd="0" presId="urn:microsoft.com/office/officeart/2005/8/layout/equation1"/>
    <dgm:cxn modelId="{2FC39B90-17AB-4E5D-ADBB-DA9B569B15D1}" type="presParOf" srcId="{32144997-1FC2-4A69-A687-7E560C8E5E40}" destId="{7A6462D7-1B53-46AD-9B71-82D2EDC18C51}" srcOrd="5" destOrd="0" presId="urn:microsoft.com/office/officeart/2005/8/layout/equation1"/>
    <dgm:cxn modelId="{312EAA98-5C00-40D9-9079-6E871D070D02}" type="presParOf" srcId="{32144997-1FC2-4A69-A687-7E560C8E5E40}" destId="{69FAC3C0-679F-4921-8560-8E65949459AA}" srcOrd="6" destOrd="0" presId="urn:microsoft.com/office/officeart/2005/8/layout/equation1"/>
    <dgm:cxn modelId="{21208C1C-08D5-4B68-A784-ECED74653B83}" type="presParOf" srcId="{32144997-1FC2-4A69-A687-7E560C8E5E40}" destId="{E345421F-130C-426A-99A7-02EA10648052}" srcOrd="7" destOrd="0" presId="urn:microsoft.com/office/officeart/2005/8/layout/equation1"/>
    <dgm:cxn modelId="{191B6DFA-C2FC-4709-96BB-C1AE5EABDE00}" type="presParOf" srcId="{32144997-1FC2-4A69-A687-7E560C8E5E40}" destId="{1DE999C7-ECBC-4885-BD90-F1F7B8B1D5F7}" srcOrd="8" destOrd="0" presId="urn:microsoft.com/office/officeart/2005/8/layout/equation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7694699-AFC5-4FC6-A418-BBB4CD86CE70}">
      <dsp:nvSpPr>
        <dsp:cNvPr id="0" name=""/>
        <dsp:cNvSpPr/>
      </dsp:nvSpPr>
      <dsp:spPr>
        <a:xfrm>
          <a:off x="922" y="143351"/>
          <a:ext cx="1222920" cy="1222920"/>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s-MX" sz="1100" kern="1200"/>
            <a:t>Población objetivo o área de enfoque</a:t>
          </a:r>
        </a:p>
      </dsp:txBody>
      <dsp:txXfrm>
        <a:off x="180014" y="322443"/>
        <a:ext cx="864736" cy="864736"/>
      </dsp:txXfrm>
    </dsp:sp>
    <dsp:sp modelId="{2ABC5ACD-4EEF-4F68-A1DB-2F08C2B2D1CF}">
      <dsp:nvSpPr>
        <dsp:cNvPr id="0" name=""/>
        <dsp:cNvSpPr/>
      </dsp:nvSpPr>
      <dsp:spPr>
        <a:xfrm>
          <a:off x="1323144" y="400164"/>
          <a:ext cx="709294" cy="709294"/>
        </a:xfrm>
        <a:prstGeom prst="mathPlus">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s-MX" sz="900" kern="1200"/>
        </a:p>
      </dsp:txBody>
      <dsp:txXfrm>
        <a:off x="1417161" y="671398"/>
        <a:ext cx="521260" cy="166826"/>
      </dsp:txXfrm>
    </dsp:sp>
    <dsp:sp modelId="{4ADA1647-EFA6-4437-A072-7B40B5ED8EE6}">
      <dsp:nvSpPr>
        <dsp:cNvPr id="0" name=""/>
        <dsp:cNvSpPr/>
      </dsp:nvSpPr>
      <dsp:spPr>
        <a:xfrm>
          <a:off x="2131739" y="143351"/>
          <a:ext cx="1222920" cy="1222920"/>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s-MX" sz="1100" kern="1200"/>
            <a:t>Descripción de la problemática que les afecta</a:t>
          </a:r>
        </a:p>
      </dsp:txBody>
      <dsp:txXfrm>
        <a:off x="2310831" y="322443"/>
        <a:ext cx="864736" cy="864736"/>
      </dsp:txXfrm>
    </dsp:sp>
    <dsp:sp modelId="{69FAC3C0-679F-4921-8560-8E65949459AA}">
      <dsp:nvSpPr>
        <dsp:cNvPr id="0" name=""/>
        <dsp:cNvSpPr/>
      </dsp:nvSpPr>
      <dsp:spPr>
        <a:xfrm>
          <a:off x="3453961" y="400164"/>
          <a:ext cx="709294" cy="709294"/>
        </a:xfrm>
        <a:prstGeom prst="mathEqual">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s-MX" sz="900" kern="1200"/>
        </a:p>
      </dsp:txBody>
      <dsp:txXfrm>
        <a:off x="3547978" y="546279"/>
        <a:ext cx="521260" cy="417064"/>
      </dsp:txXfrm>
    </dsp:sp>
    <dsp:sp modelId="{1DE999C7-ECBC-4885-BD90-F1F7B8B1D5F7}">
      <dsp:nvSpPr>
        <dsp:cNvPr id="0" name=""/>
        <dsp:cNvSpPr/>
      </dsp:nvSpPr>
      <dsp:spPr>
        <a:xfrm>
          <a:off x="4262556" y="143351"/>
          <a:ext cx="1222920" cy="1222920"/>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s-MX" sz="1100" kern="1200"/>
            <a:t>Problema central de un Pp</a:t>
          </a:r>
        </a:p>
      </dsp:txBody>
      <dsp:txXfrm>
        <a:off x="4441648" y="322443"/>
        <a:ext cx="864736" cy="864736"/>
      </dsp:txXfrm>
    </dsp:sp>
  </dsp:spTree>
</dsp:drawing>
</file>

<file path=word/diagrams/layout1.xml><?xml version="1.0" encoding="utf-8"?>
<dgm:layoutDef xmlns:dgm="http://schemas.openxmlformats.org/drawingml/2006/diagram" xmlns:a="http://schemas.openxmlformats.org/drawingml/2006/main" uniqueId="urn:microsoft.com/office/officeart/2005/8/layout/equation1">
  <dgm:title val=""/>
  <dgm:desc val=""/>
  <dgm:catLst>
    <dgm:cat type="relationship" pri="17000"/>
    <dgm:cat type="process"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choose name="Name0">
      <dgm:if name="Name1" func="var" arg="dir" op="equ" val="norm">
        <dgm:alg type="lin">
          <dgm:param type="fallback" val="2D"/>
        </dgm:alg>
      </dgm:if>
      <dgm:else name="Name2">
        <dgm:alg type="lin">
          <dgm:param type="linDir" val="fromR"/>
          <dgm:param type="fallback" val="2D"/>
        </dgm:alg>
      </dgm:else>
    </dgm:choose>
    <dgm:shape xmlns:r="http://schemas.openxmlformats.org/officeDocument/2006/relationships" r:blip="">
      <dgm:adjLst/>
    </dgm:shape>
    <dgm:presOf/>
    <dgm:constrLst>
      <dgm:constr type="w" for="ch" ptType="node" refType="w"/>
      <dgm:constr type="w" for="ch" ptType="sibTrans" refType="w" refFor="ch" refPtType="node" fact="0.58"/>
      <dgm:constr type="primFontSz" for="ch" ptType="node" op="equ" val="65"/>
      <dgm:constr type="primFontSz" for="ch" ptType="sibTrans" op="equ" val="55"/>
      <dgm:constr type="primFontSz" for="ch" ptType="sibTrans" refType="primFontSz" refFor="ch" refPtType="node" op="lte" fact="0.8"/>
      <dgm:constr type="w" for="ch" forName="spacerL" refType="w" refFor="ch" refPtType="sibTrans" fact="0.14"/>
      <dgm:constr type="w" for="ch" forName="spacerR" refType="w" refFor="ch" refPtType="sibTrans" fact="0.14"/>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sibTransForEach" axis="followSib" ptType="sibTrans" cnt="1">
        <dgm:layoutNode name="spacerL">
          <dgm:alg type="sp"/>
          <dgm:shape xmlns:r="http://schemas.openxmlformats.org/officeDocument/2006/relationships" r:blip="">
            <dgm:adjLst/>
          </dgm:shape>
          <dgm:presOf/>
          <dgm:constrLst/>
          <dgm:ruleLst/>
        </dgm:layoutNode>
        <dgm:layoutNode name="sibTrans">
          <dgm:alg type="tx"/>
          <dgm:choose name="Name3">
            <dgm:if name="Name4" axis="followSib" ptType="sibTrans" func="cnt" op="equ" val="0">
              <dgm:shape xmlns:r="http://schemas.openxmlformats.org/officeDocument/2006/relationships" type="mathEqual" r:blip="">
                <dgm:adjLst/>
              </dgm:shape>
            </dgm:if>
            <dgm:else name="Name5">
              <dgm:shape xmlns:r="http://schemas.openxmlformats.org/officeDocument/2006/relationships" type="mathPlus" r:blip="">
                <dgm:adjLst/>
              </dgm:shape>
            </dgm:else>
          </dgm:choose>
          <dgm:presOf axis="self"/>
          <dgm:constrLst>
            <dgm:constr type="h" refType="w"/>
            <dgm:constr type="lMarg"/>
            <dgm:constr type="rMarg"/>
            <dgm:constr type="tMarg"/>
            <dgm:constr type="bMarg"/>
          </dgm:constrLst>
          <dgm:ruleLst>
            <dgm:rule type="primFontSz" val="5" fact="NaN" max="NaN"/>
          </dgm:ruleLst>
        </dgm:layoutNode>
        <dgm:layoutNode name="spacerR">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1002</TotalTime>
  <Pages>4</Pages>
  <Words>2300</Words>
  <Characters>12653</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Comision Estatal de Derechos Humanos</dc:creator>
  <cp:keywords/>
  <dc:description/>
  <cp:lastModifiedBy>CEDH Sinaloa</cp:lastModifiedBy>
  <cp:revision>57</cp:revision>
  <cp:lastPrinted>2024-05-02T16:26:00Z</cp:lastPrinted>
  <dcterms:created xsi:type="dcterms:W3CDTF">2024-03-26T21:38:00Z</dcterms:created>
  <dcterms:modified xsi:type="dcterms:W3CDTF">2025-05-30T22:00:00Z</dcterms:modified>
</cp:coreProperties>
</file>