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70" w:type="dxa"/>
          <w:right w:w="70" w:type="dxa"/>
        </w:tblCellMar>
        <w:tblLook w:val="04A0" w:firstRow="1" w:lastRow="0" w:firstColumn="1" w:lastColumn="0" w:noHBand="0" w:noVBand="1"/>
      </w:tblPr>
      <w:tblGrid>
        <w:gridCol w:w="3100"/>
        <w:gridCol w:w="5728"/>
      </w:tblGrid>
      <w:tr w:rsidR="006824D0" w:rsidRPr="006824D0" w14:paraId="2811940B" w14:textId="77777777" w:rsidTr="00DB7F10">
        <w:trPr>
          <w:trHeight w:val="255"/>
        </w:trPr>
        <w:tc>
          <w:tcPr>
            <w:tcW w:w="8828" w:type="dxa"/>
            <w:gridSpan w:val="2"/>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40C6DCCE" w14:textId="77777777" w:rsidR="006824D0" w:rsidRPr="006824D0" w:rsidRDefault="006824D0" w:rsidP="006824D0">
            <w:pPr>
              <w:spacing w:after="0" w:line="276" w:lineRule="auto"/>
              <w:jc w:val="center"/>
              <w:rPr>
                <w:rFonts w:ascii="Calibri" w:eastAsia="Times New Roman" w:hAnsi="Calibri" w:cs="Calibri"/>
                <w:b/>
                <w:bCs/>
                <w:color w:val="000000"/>
                <w:kern w:val="0"/>
                <w:sz w:val="20"/>
                <w:szCs w:val="20"/>
                <w:lang w:eastAsia="es-MX"/>
                <w14:ligatures w14:val="none"/>
              </w:rPr>
            </w:pPr>
            <w:r w:rsidRPr="006824D0">
              <w:rPr>
                <w:rFonts w:ascii="Calibri" w:eastAsia="Times New Roman" w:hAnsi="Calibri" w:cs="Calibri"/>
                <w:b/>
                <w:bCs/>
                <w:color w:val="000000"/>
                <w:kern w:val="0"/>
                <w:sz w:val="20"/>
                <w:szCs w:val="20"/>
                <w:lang w:eastAsia="es-MX"/>
                <w14:ligatures w14:val="none"/>
              </w:rPr>
              <w:t>DENOMINACIÓN DEL PROGRAMA</w:t>
            </w:r>
          </w:p>
        </w:tc>
      </w:tr>
      <w:tr w:rsidR="006824D0" w:rsidRPr="006824D0" w14:paraId="61960DF7" w14:textId="77777777" w:rsidTr="00DB7F10">
        <w:trPr>
          <w:trHeight w:val="255"/>
        </w:trPr>
        <w:tc>
          <w:tcPr>
            <w:tcW w:w="3100" w:type="dxa"/>
            <w:tcBorders>
              <w:top w:val="nil"/>
              <w:left w:val="single" w:sz="8" w:space="0" w:color="auto"/>
              <w:bottom w:val="nil"/>
              <w:right w:val="nil"/>
            </w:tcBorders>
            <w:noWrap/>
            <w:vAlign w:val="center"/>
            <w:hideMark/>
          </w:tcPr>
          <w:p w14:paraId="45692F3B" w14:textId="77777777" w:rsidR="006824D0" w:rsidRPr="006824D0" w:rsidRDefault="006824D0" w:rsidP="006824D0">
            <w:pPr>
              <w:spacing w:after="0" w:line="276" w:lineRule="auto"/>
              <w:rPr>
                <w:rFonts w:ascii="Calibri" w:eastAsia="Times New Roman" w:hAnsi="Calibri" w:cs="Calibri"/>
                <w:b/>
                <w:bCs/>
                <w:color w:val="000000"/>
                <w:kern w:val="0"/>
                <w:sz w:val="20"/>
                <w:szCs w:val="20"/>
                <w:lang w:eastAsia="es-MX"/>
                <w14:ligatures w14:val="none"/>
              </w:rPr>
            </w:pPr>
            <w:r w:rsidRPr="006824D0">
              <w:rPr>
                <w:rFonts w:ascii="Calibri" w:eastAsia="Times New Roman" w:hAnsi="Calibri" w:cs="Calibri"/>
                <w:b/>
                <w:bCs/>
                <w:color w:val="000000"/>
                <w:kern w:val="0"/>
                <w:sz w:val="20"/>
                <w:szCs w:val="20"/>
                <w:lang w:eastAsia="es-MX"/>
                <w14:ligatures w14:val="none"/>
              </w:rPr>
              <w:t>Clasificación del Programa:</w:t>
            </w:r>
          </w:p>
        </w:tc>
        <w:tc>
          <w:tcPr>
            <w:tcW w:w="5728" w:type="dxa"/>
            <w:tcBorders>
              <w:top w:val="nil"/>
              <w:left w:val="nil"/>
              <w:bottom w:val="nil"/>
              <w:right w:val="single" w:sz="8" w:space="0" w:color="auto"/>
            </w:tcBorders>
            <w:noWrap/>
            <w:vAlign w:val="center"/>
            <w:hideMark/>
          </w:tcPr>
          <w:p w14:paraId="6F45BDFA"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E – Prestación de servicios públicos</w:t>
            </w:r>
          </w:p>
        </w:tc>
      </w:tr>
      <w:tr w:rsidR="006824D0" w:rsidRPr="006824D0" w14:paraId="75C7DEA1" w14:textId="77777777" w:rsidTr="00DB7F10">
        <w:trPr>
          <w:trHeight w:val="270"/>
        </w:trPr>
        <w:tc>
          <w:tcPr>
            <w:tcW w:w="3100" w:type="dxa"/>
            <w:tcBorders>
              <w:top w:val="single" w:sz="4" w:space="0" w:color="auto"/>
              <w:left w:val="single" w:sz="8" w:space="0" w:color="auto"/>
              <w:bottom w:val="single" w:sz="8" w:space="0" w:color="auto"/>
              <w:right w:val="nil"/>
            </w:tcBorders>
            <w:noWrap/>
            <w:vAlign w:val="center"/>
            <w:hideMark/>
          </w:tcPr>
          <w:p w14:paraId="54A2972B" w14:textId="77777777" w:rsidR="006824D0" w:rsidRPr="006824D0" w:rsidRDefault="006824D0" w:rsidP="006824D0">
            <w:pPr>
              <w:spacing w:after="0" w:line="276" w:lineRule="auto"/>
              <w:rPr>
                <w:rFonts w:ascii="Calibri" w:eastAsia="Times New Roman" w:hAnsi="Calibri" w:cs="Calibri"/>
                <w:b/>
                <w:bCs/>
                <w:color w:val="000000"/>
                <w:kern w:val="0"/>
                <w:sz w:val="20"/>
                <w:szCs w:val="20"/>
                <w:lang w:eastAsia="es-MX"/>
                <w14:ligatures w14:val="none"/>
              </w:rPr>
            </w:pPr>
            <w:r w:rsidRPr="006824D0">
              <w:rPr>
                <w:rFonts w:ascii="Calibri" w:eastAsia="Times New Roman" w:hAnsi="Calibri" w:cs="Calibri"/>
                <w:b/>
                <w:bCs/>
                <w:color w:val="000000"/>
                <w:kern w:val="0"/>
                <w:sz w:val="20"/>
                <w:szCs w:val="20"/>
                <w:lang w:eastAsia="es-MX"/>
                <w14:ligatures w14:val="none"/>
              </w:rPr>
              <w:t>Nombre:</w:t>
            </w:r>
          </w:p>
        </w:tc>
        <w:tc>
          <w:tcPr>
            <w:tcW w:w="5728" w:type="dxa"/>
            <w:tcBorders>
              <w:top w:val="single" w:sz="4" w:space="0" w:color="auto"/>
              <w:left w:val="nil"/>
              <w:bottom w:val="single" w:sz="8" w:space="0" w:color="auto"/>
              <w:right w:val="single" w:sz="8" w:space="0" w:color="auto"/>
            </w:tcBorders>
            <w:noWrap/>
            <w:vAlign w:val="center"/>
            <w:hideMark/>
          </w:tcPr>
          <w:p w14:paraId="7C8E2FAC" w14:textId="77777777" w:rsidR="006824D0" w:rsidRPr="006824D0" w:rsidRDefault="006824D0" w:rsidP="006824D0">
            <w:pPr>
              <w:spacing w:after="0" w:line="276" w:lineRule="auto"/>
              <w:jc w:val="both"/>
              <w:rPr>
                <w:rFonts w:ascii="Calibri" w:eastAsia="Times New Roman" w:hAnsi="Calibri" w:cs="Calibri"/>
                <w:b/>
                <w:bCs/>
                <w:color w:val="000000"/>
                <w:kern w:val="0"/>
                <w:sz w:val="20"/>
                <w:szCs w:val="20"/>
                <w:lang w:eastAsia="es-MX"/>
                <w14:ligatures w14:val="none"/>
              </w:rPr>
            </w:pPr>
            <w:r w:rsidRPr="006824D0">
              <w:rPr>
                <w:rFonts w:ascii="Calibri" w:eastAsia="Times New Roman" w:hAnsi="Calibri" w:cs="Calibri"/>
                <w:b/>
                <w:bCs/>
                <w:color w:val="000000"/>
                <w:kern w:val="0"/>
                <w:sz w:val="20"/>
                <w:szCs w:val="20"/>
                <w:lang w:eastAsia="es-MX"/>
                <w14:ligatures w14:val="none"/>
              </w:rPr>
              <w:t>Política de Protección y Promoción de los Derechos Humanos</w:t>
            </w:r>
          </w:p>
        </w:tc>
      </w:tr>
    </w:tbl>
    <w:p w14:paraId="0FB4BE27" w14:textId="77777777" w:rsidR="006824D0" w:rsidRPr="006824D0" w:rsidRDefault="006824D0" w:rsidP="006824D0">
      <w:pPr>
        <w:spacing w:after="0" w:line="276" w:lineRule="auto"/>
        <w:jc w:val="both"/>
        <w:rPr>
          <w:rFonts w:ascii="Calibri" w:eastAsia="Calibri" w:hAnsi="Calibri" w:cs="Calibri"/>
          <w:kern w:val="0"/>
          <w:sz w:val="20"/>
          <w:szCs w:val="20"/>
          <w14:ligatures w14:val="none"/>
        </w:rPr>
      </w:pPr>
    </w:p>
    <w:p w14:paraId="23EF94CB" w14:textId="77777777" w:rsidR="006824D0" w:rsidRPr="006824D0" w:rsidRDefault="006824D0" w:rsidP="006824D0">
      <w:pPr>
        <w:spacing w:after="0" w:line="276" w:lineRule="auto"/>
        <w:jc w:val="both"/>
        <w:rPr>
          <w:rFonts w:ascii="Calibri" w:eastAsia="Calibri" w:hAnsi="Calibri" w:cs="Calibri"/>
          <w:kern w:val="0"/>
          <w:sz w:val="20"/>
          <w:szCs w:val="20"/>
          <w14:ligatures w14:val="none"/>
        </w:rPr>
      </w:pPr>
      <w:r w:rsidRPr="006824D0">
        <w:rPr>
          <w:rFonts w:ascii="Calibri" w:eastAsia="Calibri" w:hAnsi="Calibri" w:cs="Calibri"/>
          <w:kern w:val="0"/>
          <w:sz w:val="20"/>
          <w:szCs w:val="20"/>
          <w14:ligatures w14:val="none"/>
        </w:rPr>
        <w:t>La primera etapa de la MML es la definición del problema, mediante la cual se busca:</w:t>
      </w:r>
    </w:p>
    <w:p w14:paraId="392BF32F" w14:textId="77777777" w:rsidR="006824D0" w:rsidRPr="006824D0" w:rsidRDefault="006824D0" w:rsidP="006824D0">
      <w:pPr>
        <w:numPr>
          <w:ilvl w:val="0"/>
          <w:numId w:val="2"/>
        </w:numPr>
        <w:spacing w:after="0" w:line="276" w:lineRule="auto"/>
        <w:contextualSpacing/>
        <w:jc w:val="both"/>
        <w:rPr>
          <w:rFonts w:ascii="Calibri" w:eastAsia="Calibri" w:hAnsi="Calibri" w:cs="Calibri"/>
          <w:kern w:val="0"/>
          <w:sz w:val="20"/>
          <w:szCs w:val="20"/>
          <w14:ligatures w14:val="none"/>
        </w:rPr>
      </w:pPr>
      <w:r w:rsidRPr="006824D0">
        <w:rPr>
          <w:rFonts w:ascii="Calibri" w:eastAsia="Calibri" w:hAnsi="Calibri" w:cs="Calibri"/>
          <w:b/>
          <w:bCs/>
          <w:kern w:val="0"/>
          <w:sz w:val="20"/>
          <w:szCs w:val="20"/>
          <w14:ligatures w14:val="none"/>
        </w:rPr>
        <w:t>Identificar correctamente el problema público que se busca resolver:</w:t>
      </w:r>
      <w:r w:rsidRPr="006824D0">
        <w:rPr>
          <w:rFonts w:ascii="Calibri" w:eastAsia="Calibri" w:hAnsi="Calibri" w:cs="Calibri"/>
          <w:kern w:val="0"/>
          <w:sz w:val="20"/>
          <w:szCs w:val="20"/>
          <w14:ligatures w14:val="none"/>
        </w:rPr>
        <w:t xml:space="preserve"> consiste en establecer la necesidad a satisfacer, el problema a solventar, el problema potencial, la oportunidad por aprovechar y/o la amenaza por superar.</w:t>
      </w:r>
    </w:p>
    <w:p w14:paraId="661D17D5" w14:textId="77777777" w:rsidR="006824D0" w:rsidRPr="006824D0" w:rsidRDefault="006824D0" w:rsidP="006824D0">
      <w:pPr>
        <w:numPr>
          <w:ilvl w:val="0"/>
          <w:numId w:val="2"/>
        </w:numPr>
        <w:spacing w:after="0" w:line="276" w:lineRule="auto"/>
        <w:contextualSpacing/>
        <w:jc w:val="both"/>
        <w:rPr>
          <w:rFonts w:ascii="Calibri" w:eastAsia="Calibri" w:hAnsi="Calibri" w:cs="Calibri"/>
          <w:kern w:val="0"/>
          <w:sz w:val="20"/>
          <w:szCs w:val="20"/>
          <w14:ligatures w14:val="none"/>
        </w:rPr>
      </w:pPr>
      <w:r w:rsidRPr="006824D0">
        <w:rPr>
          <w:rFonts w:ascii="Calibri" w:eastAsia="Calibri" w:hAnsi="Calibri" w:cs="Calibri"/>
          <w:b/>
          <w:bCs/>
          <w:kern w:val="0"/>
          <w:sz w:val="20"/>
          <w:szCs w:val="20"/>
          <w14:ligatures w14:val="none"/>
        </w:rPr>
        <w:t>Elaborar un diagnóstico del problema público:</w:t>
      </w:r>
      <w:r w:rsidRPr="006824D0">
        <w:rPr>
          <w:rFonts w:ascii="Calibri" w:eastAsia="Calibri" w:hAnsi="Calibri" w:cs="Calibri"/>
          <w:kern w:val="0"/>
          <w:sz w:val="20"/>
          <w:szCs w:val="20"/>
          <w14:ligatures w14:val="none"/>
        </w:rPr>
        <w:t xml:space="preserve"> consiste en determinar la magnitud y relevancia del problema identificado.</w:t>
      </w:r>
    </w:p>
    <w:p w14:paraId="05282458" w14:textId="77777777" w:rsidR="006824D0" w:rsidRPr="006824D0" w:rsidRDefault="006824D0" w:rsidP="006824D0">
      <w:pPr>
        <w:numPr>
          <w:ilvl w:val="0"/>
          <w:numId w:val="2"/>
        </w:numPr>
        <w:spacing w:after="0" w:line="276" w:lineRule="auto"/>
        <w:contextualSpacing/>
        <w:jc w:val="both"/>
        <w:rPr>
          <w:rFonts w:ascii="Calibri" w:eastAsia="Calibri" w:hAnsi="Calibri" w:cs="Calibri"/>
          <w:kern w:val="0"/>
          <w:sz w:val="20"/>
          <w:szCs w:val="20"/>
          <w14:ligatures w14:val="none"/>
        </w:rPr>
      </w:pPr>
      <w:r w:rsidRPr="006824D0">
        <w:rPr>
          <w:rFonts w:ascii="Calibri" w:eastAsia="Calibri" w:hAnsi="Calibri" w:cs="Calibri"/>
          <w:b/>
          <w:bCs/>
          <w:kern w:val="0"/>
          <w:sz w:val="20"/>
          <w:szCs w:val="20"/>
          <w14:ligatures w14:val="none"/>
        </w:rPr>
        <w:t xml:space="preserve">Determinar el alcance del </w:t>
      </w:r>
      <w:proofErr w:type="spellStart"/>
      <w:r w:rsidRPr="006824D0">
        <w:rPr>
          <w:rFonts w:ascii="Calibri" w:eastAsia="Calibri" w:hAnsi="Calibri" w:cs="Calibri"/>
          <w:b/>
          <w:bCs/>
          <w:kern w:val="0"/>
          <w:sz w:val="20"/>
          <w:szCs w:val="20"/>
          <w14:ligatures w14:val="none"/>
        </w:rPr>
        <w:t>Pp</w:t>
      </w:r>
      <w:proofErr w:type="spellEnd"/>
      <w:r w:rsidRPr="006824D0">
        <w:rPr>
          <w:rFonts w:ascii="Calibri" w:eastAsia="Calibri" w:hAnsi="Calibri" w:cs="Calibri"/>
          <w:b/>
          <w:bCs/>
          <w:kern w:val="0"/>
          <w:sz w:val="20"/>
          <w:szCs w:val="20"/>
          <w14:ligatures w14:val="none"/>
        </w:rPr>
        <w:t>:</w:t>
      </w:r>
      <w:r w:rsidRPr="006824D0">
        <w:rPr>
          <w:rFonts w:ascii="Calibri" w:eastAsia="Calibri" w:hAnsi="Calibri" w:cs="Calibri"/>
          <w:kern w:val="0"/>
          <w:sz w:val="20"/>
          <w:szCs w:val="20"/>
          <w14:ligatures w14:val="none"/>
        </w:rPr>
        <w:t xml:space="preserve"> consiste en delimitar la población que enfrenta la problemática identificada y que pretende atender el </w:t>
      </w:r>
      <w:proofErr w:type="spellStart"/>
      <w:r w:rsidRPr="006824D0">
        <w:rPr>
          <w:rFonts w:ascii="Calibri" w:eastAsia="Calibri" w:hAnsi="Calibri" w:cs="Calibri"/>
          <w:kern w:val="0"/>
          <w:sz w:val="20"/>
          <w:szCs w:val="20"/>
          <w14:ligatures w14:val="none"/>
        </w:rPr>
        <w:t>Pp</w:t>
      </w:r>
      <w:proofErr w:type="spellEnd"/>
      <w:r w:rsidRPr="006824D0">
        <w:rPr>
          <w:rFonts w:ascii="Calibri" w:eastAsia="Calibri" w:hAnsi="Calibri" w:cs="Calibri"/>
          <w:kern w:val="0"/>
          <w:sz w:val="20"/>
          <w:szCs w:val="20"/>
          <w14:ligatures w14:val="none"/>
        </w:rPr>
        <w:t xml:space="preserve"> o proyecto. Para esto se deberá elaborar un análisis de la población de referencia, potencial, objetivo y atendida (en el Cuadro 1, se presentan las definiciones de éstas).</w:t>
      </w:r>
    </w:p>
    <w:tbl>
      <w:tblPr>
        <w:tblStyle w:val="Tablaconcuadrcula"/>
        <w:tblW w:w="0" w:type="auto"/>
        <w:tblLook w:val="04A0" w:firstRow="1" w:lastRow="0" w:firstColumn="1" w:lastColumn="0" w:noHBand="0" w:noVBand="1"/>
      </w:tblPr>
      <w:tblGrid>
        <w:gridCol w:w="2348"/>
        <w:gridCol w:w="2266"/>
        <w:gridCol w:w="2266"/>
        <w:gridCol w:w="1948"/>
      </w:tblGrid>
      <w:tr w:rsidR="006824D0" w:rsidRPr="006824D0" w14:paraId="5507F0D4" w14:textId="77777777" w:rsidTr="00DB7F10">
        <w:tc>
          <w:tcPr>
            <w:tcW w:w="8828" w:type="dxa"/>
            <w:gridSpan w:val="4"/>
            <w:tcBorders>
              <w:top w:val="nil"/>
              <w:left w:val="nil"/>
              <w:bottom w:val="single" w:sz="4" w:space="0" w:color="auto"/>
              <w:right w:val="nil"/>
            </w:tcBorders>
            <w:vAlign w:val="center"/>
          </w:tcPr>
          <w:p w14:paraId="7006EEE6" w14:textId="77777777" w:rsidR="006824D0" w:rsidRPr="006824D0" w:rsidRDefault="006824D0" w:rsidP="006824D0">
            <w:pPr>
              <w:spacing w:line="276" w:lineRule="auto"/>
              <w:jc w:val="center"/>
              <w:rPr>
                <w:rFonts w:ascii="Calibri" w:eastAsia="Calibri" w:hAnsi="Calibri" w:cs="Calibri"/>
                <w:b/>
                <w:bCs/>
                <w:sz w:val="18"/>
                <w:szCs w:val="18"/>
              </w:rPr>
            </w:pPr>
            <w:r w:rsidRPr="006824D0">
              <w:rPr>
                <w:rFonts w:ascii="Calibri" w:eastAsia="Calibri" w:hAnsi="Calibri" w:cs="Calibri"/>
                <w:b/>
                <w:bCs/>
                <w:sz w:val="18"/>
                <w:szCs w:val="18"/>
              </w:rPr>
              <w:t>Cuadro 1. Definiciones de tipos de población.</w:t>
            </w:r>
          </w:p>
        </w:tc>
      </w:tr>
      <w:tr w:rsidR="006824D0" w:rsidRPr="006824D0" w14:paraId="5C8A40C5" w14:textId="77777777" w:rsidTr="006824D0">
        <w:tc>
          <w:tcPr>
            <w:tcW w:w="2348" w:type="dxa"/>
            <w:tcBorders>
              <w:top w:val="single" w:sz="4" w:space="0" w:color="auto"/>
            </w:tcBorders>
            <w:shd w:val="clear" w:color="auto" w:fill="BFBFBF"/>
            <w:vAlign w:val="center"/>
          </w:tcPr>
          <w:p w14:paraId="2CAED7D9" w14:textId="77777777" w:rsidR="006824D0" w:rsidRPr="006824D0" w:rsidRDefault="006824D0" w:rsidP="006824D0">
            <w:pPr>
              <w:spacing w:line="276" w:lineRule="auto"/>
              <w:jc w:val="center"/>
              <w:rPr>
                <w:rFonts w:ascii="Calibri" w:eastAsia="Calibri" w:hAnsi="Calibri" w:cs="Calibri"/>
                <w:b/>
                <w:bCs/>
                <w:sz w:val="18"/>
                <w:szCs w:val="18"/>
              </w:rPr>
            </w:pPr>
            <w:r w:rsidRPr="006824D0">
              <w:rPr>
                <w:rFonts w:ascii="Calibri" w:eastAsia="Calibri" w:hAnsi="Calibri" w:cs="Calibri"/>
                <w:b/>
                <w:bCs/>
                <w:sz w:val="18"/>
                <w:szCs w:val="18"/>
              </w:rPr>
              <w:t>Población de referencia</w:t>
            </w:r>
          </w:p>
        </w:tc>
        <w:tc>
          <w:tcPr>
            <w:tcW w:w="2266" w:type="dxa"/>
            <w:tcBorders>
              <w:top w:val="single" w:sz="4" w:space="0" w:color="auto"/>
            </w:tcBorders>
            <w:shd w:val="clear" w:color="auto" w:fill="BFBFBF"/>
            <w:vAlign w:val="center"/>
          </w:tcPr>
          <w:p w14:paraId="4A9B69B6" w14:textId="77777777" w:rsidR="006824D0" w:rsidRPr="006824D0" w:rsidRDefault="006824D0" w:rsidP="006824D0">
            <w:pPr>
              <w:spacing w:line="276" w:lineRule="auto"/>
              <w:jc w:val="center"/>
              <w:rPr>
                <w:rFonts w:ascii="Calibri" w:eastAsia="Calibri" w:hAnsi="Calibri" w:cs="Calibri"/>
                <w:b/>
                <w:bCs/>
                <w:sz w:val="18"/>
                <w:szCs w:val="18"/>
              </w:rPr>
            </w:pPr>
            <w:r w:rsidRPr="006824D0">
              <w:rPr>
                <w:rFonts w:ascii="Calibri" w:eastAsia="Calibri" w:hAnsi="Calibri" w:cs="Calibri"/>
                <w:b/>
                <w:bCs/>
                <w:sz w:val="18"/>
                <w:szCs w:val="18"/>
              </w:rPr>
              <w:t>Población potencial</w:t>
            </w:r>
          </w:p>
        </w:tc>
        <w:tc>
          <w:tcPr>
            <w:tcW w:w="2266" w:type="dxa"/>
            <w:tcBorders>
              <w:top w:val="single" w:sz="4" w:space="0" w:color="auto"/>
            </w:tcBorders>
            <w:shd w:val="clear" w:color="auto" w:fill="BFBFBF"/>
            <w:vAlign w:val="center"/>
          </w:tcPr>
          <w:p w14:paraId="473348B4" w14:textId="77777777" w:rsidR="006824D0" w:rsidRPr="006824D0" w:rsidRDefault="006824D0" w:rsidP="006824D0">
            <w:pPr>
              <w:spacing w:line="276" w:lineRule="auto"/>
              <w:jc w:val="center"/>
              <w:rPr>
                <w:rFonts w:ascii="Calibri" w:eastAsia="Calibri" w:hAnsi="Calibri" w:cs="Calibri"/>
                <w:b/>
                <w:bCs/>
                <w:sz w:val="18"/>
                <w:szCs w:val="18"/>
              </w:rPr>
            </w:pPr>
            <w:r w:rsidRPr="006824D0">
              <w:rPr>
                <w:rFonts w:ascii="Calibri" w:eastAsia="Calibri" w:hAnsi="Calibri" w:cs="Calibri"/>
                <w:b/>
                <w:bCs/>
                <w:sz w:val="18"/>
                <w:szCs w:val="18"/>
              </w:rPr>
              <w:t>Población objetivo</w:t>
            </w:r>
          </w:p>
        </w:tc>
        <w:tc>
          <w:tcPr>
            <w:tcW w:w="1948" w:type="dxa"/>
            <w:tcBorders>
              <w:top w:val="single" w:sz="4" w:space="0" w:color="auto"/>
            </w:tcBorders>
            <w:shd w:val="clear" w:color="auto" w:fill="BFBFBF"/>
            <w:vAlign w:val="center"/>
          </w:tcPr>
          <w:p w14:paraId="1578F636" w14:textId="77777777" w:rsidR="006824D0" w:rsidRPr="006824D0" w:rsidRDefault="006824D0" w:rsidP="006824D0">
            <w:pPr>
              <w:spacing w:line="276" w:lineRule="auto"/>
              <w:jc w:val="center"/>
              <w:rPr>
                <w:rFonts w:ascii="Calibri" w:eastAsia="Calibri" w:hAnsi="Calibri" w:cs="Calibri"/>
                <w:b/>
                <w:bCs/>
                <w:sz w:val="18"/>
                <w:szCs w:val="18"/>
              </w:rPr>
            </w:pPr>
            <w:r w:rsidRPr="006824D0">
              <w:rPr>
                <w:rFonts w:ascii="Calibri" w:eastAsia="Calibri" w:hAnsi="Calibri" w:cs="Calibri"/>
                <w:b/>
                <w:bCs/>
                <w:sz w:val="18"/>
                <w:szCs w:val="18"/>
              </w:rPr>
              <w:t>Población atendida</w:t>
            </w:r>
          </w:p>
        </w:tc>
      </w:tr>
      <w:tr w:rsidR="006824D0" w:rsidRPr="006824D0" w14:paraId="63FC36A8" w14:textId="77777777" w:rsidTr="00DB7F10">
        <w:tc>
          <w:tcPr>
            <w:tcW w:w="2348" w:type="dxa"/>
            <w:tcBorders>
              <w:bottom w:val="single" w:sz="4" w:space="0" w:color="auto"/>
            </w:tcBorders>
          </w:tcPr>
          <w:p w14:paraId="3EE3A686" w14:textId="77777777" w:rsidR="006824D0" w:rsidRPr="006824D0" w:rsidRDefault="006824D0" w:rsidP="006824D0">
            <w:pPr>
              <w:spacing w:line="276" w:lineRule="auto"/>
              <w:jc w:val="both"/>
              <w:rPr>
                <w:rFonts w:ascii="Calibri" w:eastAsia="Calibri" w:hAnsi="Calibri" w:cs="Calibri"/>
                <w:sz w:val="18"/>
                <w:szCs w:val="18"/>
              </w:rPr>
            </w:pPr>
            <w:r w:rsidRPr="006824D0">
              <w:rPr>
                <w:rFonts w:ascii="Calibri" w:eastAsia="Calibri" w:hAnsi="Calibri" w:cs="Calibri"/>
                <w:sz w:val="18"/>
                <w:szCs w:val="18"/>
              </w:rPr>
              <w:t>Es el universo o total de población (con o sin problema) relacionada con el área o sector en el que se está definiendo el problema.</w:t>
            </w:r>
          </w:p>
        </w:tc>
        <w:tc>
          <w:tcPr>
            <w:tcW w:w="2266" w:type="dxa"/>
            <w:tcBorders>
              <w:bottom w:val="single" w:sz="4" w:space="0" w:color="auto"/>
            </w:tcBorders>
          </w:tcPr>
          <w:p w14:paraId="3E783E2B" w14:textId="77777777" w:rsidR="006824D0" w:rsidRPr="006824D0" w:rsidRDefault="006824D0" w:rsidP="006824D0">
            <w:pPr>
              <w:spacing w:line="276" w:lineRule="auto"/>
              <w:jc w:val="both"/>
              <w:rPr>
                <w:rFonts w:ascii="Calibri" w:eastAsia="Calibri" w:hAnsi="Calibri" w:cs="Calibri"/>
                <w:sz w:val="18"/>
                <w:szCs w:val="18"/>
              </w:rPr>
            </w:pPr>
            <w:r w:rsidRPr="006824D0">
              <w:rPr>
                <w:rFonts w:ascii="Calibri" w:eastAsia="Calibri" w:hAnsi="Calibri" w:cs="Calibri"/>
                <w:sz w:val="18"/>
                <w:szCs w:val="18"/>
              </w:rPr>
              <w:t>Es la población afectada directamente o que presenta el problema que se está definiendo y que justifica la existencia del Pp.</w:t>
            </w:r>
          </w:p>
        </w:tc>
        <w:tc>
          <w:tcPr>
            <w:tcW w:w="2266" w:type="dxa"/>
            <w:tcBorders>
              <w:bottom w:val="single" w:sz="4" w:space="0" w:color="auto"/>
            </w:tcBorders>
          </w:tcPr>
          <w:p w14:paraId="25F5C925" w14:textId="77777777" w:rsidR="006824D0" w:rsidRPr="006824D0" w:rsidRDefault="006824D0" w:rsidP="006824D0">
            <w:pPr>
              <w:spacing w:line="276" w:lineRule="auto"/>
              <w:jc w:val="both"/>
              <w:rPr>
                <w:rFonts w:ascii="Calibri" w:eastAsia="Calibri" w:hAnsi="Calibri" w:cs="Calibri"/>
                <w:sz w:val="18"/>
                <w:szCs w:val="18"/>
              </w:rPr>
            </w:pPr>
            <w:r w:rsidRPr="006824D0">
              <w:rPr>
                <w:rFonts w:ascii="Calibri" w:eastAsia="Calibri" w:hAnsi="Calibri" w:cs="Calibri"/>
                <w:sz w:val="18"/>
                <w:szCs w:val="18"/>
              </w:rPr>
              <w:t xml:space="preserve">Es la población que el </w:t>
            </w:r>
            <w:proofErr w:type="spellStart"/>
            <w:r w:rsidRPr="006824D0">
              <w:rPr>
                <w:rFonts w:ascii="Calibri" w:eastAsia="Calibri" w:hAnsi="Calibri" w:cs="Calibri"/>
                <w:sz w:val="18"/>
                <w:szCs w:val="18"/>
              </w:rPr>
              <w:t>Pp</w:t>
            </w:r>
            <w:proofErr w:type="spellEnd"/>
            <w:r w:rsidRPr="006824D0">
              <w:rPr>
                <w:rFonts w:ascii="Calibri" w:eastAsia="Calibri" w:hAnsi="Calibri" w:cs="Calibri"/>
                <w:sz w:val="18"/>
                <w:szCs w:val="18"/>
              </w:rPr>
              <w:t xml:space="preserve"> pretende atender en un periodo dado de tiempo, pudiendo corresponder a la totalidad de la población potencial o parte de ella.</w:t>
            </w:r>
          </w:p>
        </w:tc>
        <w:tc>
          <w:tcPr>
            <w:tcW w:w="1948" w:type="dxa"/>
            <w:tcBorders>
              <w:bottom w:val="single" w:sz="4" w:space="0" w:color="auto"/>
            </w:tcBorders>
          </w:tcPr>
          <w:p w14:paraId="61325BE4" w14:textId="77777777" w:rsidR="006824D0" w:rsidRPr="006824D0" w:rsidRDefault="006824D0" w:rsidP="006824D0">
            <w:pPr>
              <w:spacing w:line="276" w:lineRule="auto"/>
              <w:jc w:val="both"/>
              <w:rPr>
                <w:rFonts w:ascii="Calibri" w:eastAsia="Calibri" w:hAnsi="Calibri" w:cs="Calibri"/>
                <w:sz w:val="18"/>
                <w:szCs w:val="18"/>
              </w:rPr>
            </w:pPr>
            <w:r w:rsidRPr="006824D0">
              <w:rPr>
                <w:rFonts w:ascii="Calibri" w:eastAsia="Calibri" w:hAnsi="Calibri" w:cs="Calibri"/>
                <w:sz w:val="18"/>
                <w:szCs w:val="18"/>
              </w:rPr>
              <w:t>Es la población que ya fue atendida por el Pp.</w:t>
            </w:r>
          </w:p>
        </w:tc>
      </w:tr>
      <w:tr w:rsidR="006824D0" w:rsidRPr="006824D0" w14:paraId="1F4D6814" w14:textId="77777777" w:rsidTr="00DB7F10">
        <w:tc>
          <w:tcPr>
            <w:tcW w:w="8828" w:type="dxa"/>
            <w:gridSpan w:val="4"/>
            <w:tcBorders>
              <w:top w:val="single" w:sz="4" w:space="0" w:color="auto"/>
              <w:left w:val="nil"/>
              <w:bottom w:val="nil"/>
              <w:right w:val="nil"/>
            </w:tcBorders>
          </w:tcPr>
          <w:p w14:paraId="5DC9BC65" w14:textId="77777777" w:rsidR="006824D0" w:rsidRPr="006824D0" w:rsidRDefault="006824D0" w:rsidP="006824D0">
            <w:pPr>
              <w:spacing w:line="276" w:lineRule="auto"/>
              <w:jc w:val="both"/>
              <w:rPr>
                <w:rFonts w:ascii="Calibri" w:eastAsia="Calibri" w:hAnsi="Calibri" w:cs="Calibri"/>
                <w:sz w:val="18"/>
                <w:szCs w:val="18"/>
              </w:rPr>
            </w:pPr>
            <w:r w:rsidRPr="006824D0">
              <w:rPr>
                <w:rFonts w:ascii="Calibri" w:eastAsia="Calibri" w:hAnsi="Calibri" w:cs="Calibri"/>
                <w:sz w:val="18"/>
                <w:szCs w:val="18"/>
              </w:rPr>
              <w:t>Fuente: Elaborado por la CEDH Sinaloa con base en la Guía para el Diseño de la Matriz de Indicadores para Resultados de la SHCP.</w:t>
            </w:r>
          </w:p>
        </w:tc>
      </w:tr>
    </w:tbl>
    <w:p w14:paraId="779E84A1" w14:textId="77777777" w:rsidR="006824D0" w:rsidRPr="006824D0" w:rsidRDefault="006824D0" w:rsidP="006824D0">
      <w:pPr>
        <w:spacing w:after="0" w:line="276" w:lineRule="auto"/>
        <w:jc w:val="both"/>
        <w:rPr>
          <w:rFonts w:ascii="Calibri" w:eastAsia="Calibri" w:hAnsi="Calibri" w:cs="Calibri"/>
          <w:kern w:val="0"/>
          <w:sz w:val="20"/>
          <w:szCs w:val="20"/>
          <w14:ligatures w14:val="none"/>
        </w:rPr>
      </w:pPr>
    </w:p>
    <w:p w14:paraId="17530BA1" w14:textId="77777777" w:rsidR="006824D0" w:rsidRPr="006824D0" w:rsidRDefault="006824D0" w:rsidP="006824D0">
      <w:pPr>
        <w:spacing w:after="0" w:line="276" w:lineRule="auto"/>
        <w:jc w:val="both"/>
        <w:rPr>
          <w:rFonts w:ascii="Calibri" w:eastAsia="Calibri" w:hAnsi="Calibri" w:cs="Calibri"/>
          <w:kern w:val="0"/>
          <w:sz w:val="20"/>
          <w:szCs w:val="20"/>
          <w14:ligatures w14:val="none"/>
        </w:rPr>
      </w:pPr>
      <w:r w:rsidRPr="006824D0">
        <w:rPr>
          <w:rFonts w:ascii="Calibri" w:eastAsia="Calibri" w:hAnsi="Calibri" w:cs="Calibri"/>
          <w:kern w:val="0"/>
          <w:sz w:val="20"/>
          <w:szCs w:val="20"/>
          <w14:ligatures w14:val="none"/>
        </w:rPr>
        <w:t>Algunos aspectos para considerar en la definición del problema:</w:t>
      </w:r>
    </w:p>
    <w:p w14:paraId="67F1CBC5" w14:textId="77777777" w:rsidR="006824D0" w:rsidRPr="006824D0" w:rsidRDefault="006824D0" w:rsidP="006824D0">
      <w:pPr>
        <w:numPr>
          <w:ilvl w:val="0"/>
          <w:numId w:val="1"/>
        </w:numPr>
        <w:spacing w:after="0" w:line="276" w:lineRule="auto"/>
        <w:contextualSpacing/>
        <w:jc w:val="both"/>
        <w:rPr>
          <w:rFonts w:ascii="Calibri" w:eastAsia="Calibri" w:hAnsi="Calibri" w:cs="Calibri"/>
          <w:kern w:val="0"/>
          <w:sz w:val="20"/>
          <w:szCs w:val="20"/>
          <w14:ligatures w14:val="none"/>
        </w:rPr>
      </w:pPr>
      <w:r w:rsidRPr="006824D0">
        <w:rPr>
          <w:rFonts w:ascii="Calibri" w:eastAsia="Calibri" w:hAnsi="Calibri" w:cs="Calibri"/>
          <w:kern w:val="0"/>
          <w:sz w:val="20"/>
          <w:szCs w:val="20"/>
          <w14:ligatures w14:val="none"/>
        </w:rPr>
        <w:t>El problema no debe ser expresado como la ausencia de un servicio o de un bien; es decir, no se debe confundir el problema con la falta de una solución.</w:t>
      </w:r>
    </w:p>
    <w:p w14:paraId="42232BD1" w14:textId="77777777" w:rsidR="006824D0" w:rsidRPr="006824D0" w:rsidRDefault="006824D0" w:rsidP="006824D0">
      <w:pPr>
        <w:numPr>
          <w:ilvl w:val="0"/>
          <w:numId w:val="1"/>
        </w:numPr>
        <w:spacing w:after="0" w:line="276" w:lineRule="auto"/>
        <w:contextualSpacing/>
        <w:jc w:val="both"/>
        <w:rPr>
          <w:rFonts w:ascii="Calibri" w:eastAsia="Calibri" w:hAnsi="Calibri" w:cs="Calibri"/>
          <w:kern w:val="0"/>
          <w:sz w:val="20"/>
          <w:szCs w:val="20"/>
          <w14:ligatures w14:val="none"/>
        </w:rPr>
      </w:pPr>
      <w:r w:rsidRPr="006824D0">
        <w:rPr>
          <w:rFonts w:ascii="Calibri" w:eastAsia="Calibri" w:hAnsi="Calibri" w:cs="Calibri"/>
          <w:kern w:val="0"/>
          <w:sz w:val="20"/>
          <w:szCs w:val="20"/>
          <w14:ligatures w14:val="none"/>
        </w:rPr>
        <w:t>Se formula como un hecho negativo, o como una situación que debe ser revertida.</w:t>
      </w:r>
    </w:p>
    <w:p w14:paraId="5A54D64D" w14:textId="77777777" w:rsidR="006824D0" w:rsidRPr="006824D0" w:rsidRDefault="006824D0" w:rsidP="006824D0">
      <w:pPr>
        <w:numPr>
          <w:ilvl w:val="0"/>
          <w:numId w:val="1"/>
        </w:numPr>
        <w:spacing w:after="0" w:line="276" w:lineRule="auto"/>
        <w:contextualSpacing/>
        <w:jc w:val="both"/>
        <w:rPr>
          <w:rFonts w:ascii="Calibri" w:eastAsia="Calibri" w:hAnsi="Calibri" w:cs="Calibri"/>
          <w:kern w:val="0"/>
          <w:sz w:val="20"/>
          <w:szCs w:val="20"/>
          <w14:ligatures w14:val="none"/>
        </w:rPr>
      </w:pPr>
      <w:r w:rsidRPr="006824D0">
        <w:rPr>
          <w:rFonts w:ascii="Calibri" w:eastAsia="Calibri" w:hAnsi="Calibri" w:cs="Calibri"/>
          <w:kern w:val="0"/>
          <w:sz w:val="20"/>
          <w:szCs w:val="20"/>
          <w14:ligatures w14:val="none"/>
        </w:rPr>
        <w:t>Define la población objetivo.</w:t>
      </w:r>
    </w:p>
    <w:p w14:paraId="03AE3EF6" w14:textId="77777777" w:rsidR="006824D0" w:rsidRPr="006824D0" w:rsidRDefault="006824D0" w:rsidP="006824D0">
      <w:pPr>
        <w:numPr>
          <w:ilvl w:val="0"/>
          <w:numId w:val="1"/>
        </w:numPr>
        <w:spacing w:after="0" w:line="276" w:lineRule="auto"/>
        <w:contextualSpacing/>
        <w:jc w:val="both"/>
        <w:rPr>
          <w:rFonts w:ascii="Calibri" w:eastAsia="Calibri" w:hAnsi="Calibri" w:cs="Calibri"/>
          <w:kern w:val="0"/>
          <w:sz w:val="20"/>
          <w:szCs w:val="20"/>
          <w14:ligatures w14:val="none"/>
        </w:rPr>
      </w:pPr>
      <w:r w:rsidRPr="006824D0">
        <w:rPr>
          <w:rFonts w:ascii="Calibri" w:eastAsia="Calibri" w:hAnsi="Calibri" w:cs="Calibri"/>
          <w:kern w:val="0"/>
          <w:sz w:val="20"/>
          <w:szCs w:val="20"/>
          <w14:ligatures w14:val="none"/>
        </w:rPr>
        <w:t>Describe la problemática central que afecta a la población definida.</w:t>
      </w:r>
    </w:p>
    <w:p w14:paraId="4EB227ED" w14:textId="77777777" w:rsidR="006824D0" w:rsidRPr="006824D0" w:rsidRDefault="006824D0" w:rsidP="006824D0">
      <w:pPr>
        <w:numPr>
          <w:ilvl w:val="0"/>
          <w:numId w:val="1"/>
        </w:numPr>
        <w:spacing w:after="0" w:line="276" w:lineRule="auto"/>
        <w:contextualSpacing/>
        <w:jc w:val="both"/>
        <w:rPr>
          <w:rFonts w:ascii="Calibri" w:eastAsia="Calibri" w:hAnsi="Calibri" w:cs="Calibri"/>
          <w:kern w:val="0"/>
          <w:sz w:val="20"/>
          <w:szCs w:val="20"/>
          <w14:ligatures w14:val="none"/>
        </w:rPr>
      </w:pPr>
      <w:r w:rsidRPr="006824D0">
        <w:rPr>
          <w:rFonts w:ascii="Calibri" w:eastAsia="Calibri" w:hAnsi="Calibri" w:cs="Calibri"/>
          <w:kern w:val="0"/>
          <w:sz w:val="20"/>
          <w:szCs w:val="20"/>
          <w14:ligatures w14:val="none"/>
        </w:rPr>
        <w:t xml:space="preserve">El enunciado que defina la problemática podrá tener la siguiente estructura: </w:t>
      </w:r>
    </w:p>
    <w:p w14:paraId="23B290A8" w14:textId="77777777" w:rsidR="006824D0" w:rsidRPr="006824D0" w:rsidRDefault="006824D0" w:rsidP="006824D0">
      <w:pPr>
        <w:spacing w:after="0" w:line="276" w:lineRule="auto"/>
        <w:jc w:val="center"/>
        <w:rPr>
          <w:rFonts w:ascii="Calibri" w:eastAsia="Calibri" w:hAnsi="Calibri" w:cs="Calibri"/>
          <w:kern w:val="0"/>
          <w:sz w:val="20"/>
          <w:szCs w:val="20"/>
          <w14:ligatures w14:val="none"/>
        </w:rPr>
      </w:pPr>
      <w:r w:rsidRPr="006824D0">
        <w:rPr>
          <w:rFonts w:ascii="Calibri" w:eastAsia="Calibri" w:hAnsi="Calibri" w:cs="Calibri"/>
          <w:noProof/>
          <w:kern w:val="0"/>
          <w:sz w:val="20"/>
          <w:szCs w:val="20"/>
          <w14:ligatures w14:val="none"/>
        </w:rPr>
        <w:drawing>
          <wp:inline distT="0" distB="0" distL="0" distR="0" wp14:anchorId="0468C4CD" wp14:editId="4252ADA9">
            <wp:extent cx="5486400" cy="1509623"/>
            <wp:effectExtent l="0" t="0" r="190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464438B" w14:textId="77777777" w:rsidR="006824D0" w:rsidRPr="006824D0" w:rsidRDefault="006824D0" w:rsidP="006824D0">
      <w:pPr>
        <w:spacing w:after="0" w:line="276" w:lineRule="auto"/>
        <w:jc w:val="both"/>
        <w:rPr>
          <w:rFonts w:ascii="Calibri" w:eastAsia="Calibri" w:hAnsi="Calibri" w:cs="Calibri"/>
          <w:kern w:val="0"/>
          <w:sz w:val="20"/>
          <w:szCs w:val="20"/>
          <w14:ligatures w14:val="none"/>
        </w:rPr>
      </w:pPr>
    </w:p>
    <w:p w14:paraId="657FDC0C" w14:textId="77777777" w:rsidR="006824D0" w:rsidRPr="006824D0" w:rsidRDefault="006824D0" w:rsidP="006824D0">
      <w:pPr>
        <w:rPr>
          <w:rFonts w:ascii="Calibri" w:eastAsia="Calibri" w:hAnsi="Calibri" w:cs="Calibri"/>
          <w:kern w:val="0"/>
          <w:sz w:val="20"/>
          <w:szCs w:val="20"/>
          <w14:ligatures w14:val="none"/>
        </w:rPr>
      </w:pPr>
      <w:r w:rsidRPr="006824D0">
        <w:rPr>
          <w:rFonts w:ascii="Calibri" w:eastAsia="Calibri" w:hAnsi="Calibri" w:cs="Calibri"/>
          <w:kern w:val="0"/>
          <w:sz w:val="20"/>
          <w:szCs w:val="20"/>
          <w14:ligatures w14:val="none"/>
        </w:rPr>
        <w:br w:type="page"/>
      </w:r>
    </w:p>
    <w:p w14:paraId="7529AD2B" w14:textId="77777777" w:rsidR="006824D0" w:rsidRPr="006824D0" w:rsidRDefault="006824D0" w:rsidP="006824D0">
      <w:pPr>
        <w:spacing w:after="0" w:line="276" w:lineRule="auto"/>
        <w:jc w:val="both"/>
        <w:rPr>
          <w:rFonts w:ascii="Calibri" w:eastAsia="Calibri" w:hAnsi="Calibri" w:cs="Calibri"/>
          <w:kern w:val="0"/>
          <w:sz w:val="20"/>
          <w:szCs w:val="20"/>
          <w14:ligatures w14:val="none"/>
        </w:rPr>
      </w:pPr>
      <w:r w:rsidRPr="006824D0">
        <w:rPr>
          <w:rFonts w:ascii="Calibri" w:eastAsia="Calibri" w:hAnsi="Calibri" w:cs="Calibri"/>
          <w:kern w:val="0"/>
          <w:sz w:val="20"/>
          <w:szCs w:val="20"/>
          <w14:ligatures w14:val="none"/>
        </w:rPr>
        <w:lastRenderedPageBreak/>
        <w:t xml:space="preserve">A continuación, se presenta la Definición del problema para el </w:t>
      </w:r>
      <w:proofErr w:type="spellStart"/>
      <w:r w:rsidRPr="006824D0">
        <w:rPr>
          <w:rFonts w:ascii="Calibri" w:eastAsia="Calibri" w:hAnsi="Calibri" w:cs="Calibri"/>
          <w:kern w:val="0"/>
          <w:sz w:val="20"/>
          <w:szCs w:val="20"/>
          <w14:ligatures w14:val="none"/>
        </w:rPr>
        <w:t>Pp</w:t>
      </w:r>
      <w:proofErr w:type="spellEnd"/>
      <w:r w:rsidRPr="006824D0">
        <w:rPr>
          <w:rFonts w:ascii="Calibri" w:eastAsia="Calibri" w:hAnsi="Calibri" w:cs="Calibri"/>
          <w:kern w:val="0"/>
          <w:sz w:val="20"/>
          <w:szCs w:val="20"/>
          <w14:ligatures w14:val="none"/>
        </w:rPr>
        <w:t xml:space="preserve"> Política de Protección y Promoción de los Derechos Humanos:</w:t>
      </w:r>
    </w:p>
    <w:p w14:paraId="5AE551A4" w14:textId="77777777" w:rsidR="006824D0" w:rsidRPr="006824D0" w:rsidRDefault="006824D0" w:rsidP="006824D0">
      <w:pPr>
        <w:spacing w:after="0" w:line="276" w:lineRule="auto"/>
        <w:jc w:val="both"/>
        <w:rPr>
          <w:rFonts w:ascii="Calibri" w:eastAsia="Calibri" w:hAnsi="Calibri" w:cs="Calibri"/>
          <w:kern w:val="0"/>
          <w:sz w:val="20"/>
          <w:szCs w:val="20"/>
          <w14:ligatures w14:val="none"/>
        </w:rPr>
      </w:pPr>
    </w:p>
    <w:tbl>
      <w:tblPr>
        <w:tblW w:w="0" w:type="auto"/>
        <w:tblCellMar>
          <w:left w:w="70" w:type="dxa"/>
          <w:right w:w="70" w:type="dxa"/>
        </w:tblCellMar>
        <w:tblLook w:val="04A0" w:firstRow="1" w:lastRow="0" w:firstColumn="1" w:lastColumn="0" w:noHBand="0" w:noVBand="1"/>
      </w:tblPr>
      <w:tblGrid>
        <w:gridCol w:w="1266"/>
        <w:gridCol w:w="7552"/>
      </w:tblGrid>
      <w:tr w:rsidR="006824D0" w:rsidRPr="006824D0" w14:paraId="21947756" w14:textId="77777777" w:rsidTr="00DB7F10">
        <w:trPr>
          <w:trHeight w:val="255"/>
        </w:trPr>
        <w:tc>
          <w:tcPr>
            <w:tcW w:w="0" w:type="auto"/>
            <w:gridSpan w:val="2"/>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2A79E6B5" w14:textId="77777777" w:rsidR="006824D0" w:rsidRPr="006824D0" w:rsidRDefault="006824D0" w:rsidP="006824D0">
            <w:pPr>
              <w:spacing w:after="0" w:line="276" w:lineRule="auto"/>
              <w:jc w:val="center"/>
              <w:rPr>
                <w:rFonts w:ascii="Calibri" w:eastAsia="Times New Roman" w:hAnsi="Calibri" w:cs="Calibri"/>
                <w:b/>
                <w:bCs/>
                <w:color w:val="000000"/>
                <w:kern w:val="0"/>
                <w:sz w:val="18"/>
                <w:szCs w:val="18"/>
                <w:lang w:eastAsia="es-MX"/>
                <w14:ligatures w14:val="none"/>
              </w:rPr>
            </w:pPr>
            <w:r w:rsidRPr="006824D0">
              <w:rPr>
                <w:rFonts w:ascii="Calibri" w:eastAsia="Times New Roman" w:hAnsi="Calibri" w:cs="Calibri"/>
                <w:b/>
                <w:bCs/>
                <w:color w:val="000000"/>
                <w:kern w:val="0"/>
                <w:sz w:val="18"/>
                <w:szCs w:val="18"/>
                <w:lang w:eastAsia="es-MX"/>
                <w14:ligatures w14:val="none"/>
              </w:rPr>
              <w:t>DEFINICIÓN DEL PROBLEMA QUE DA ORIGEN AL PROGRAMA PRESUPUESTARIO</w:t>
            </w:r>
          </w:p>
        </w:tc>
      </w:tr>
      <w:tr w:rsidR="006824D0" w:rsidRPr="006824D0" w14:paraId="1E9AA592" w14:textId="77777777" w:rsidTr="00DB7F10">
        <w:trPr>
          <w:trHeight w:val="255"/>
        </w:trPr>
        <w:tc>
          <w:tcPr>
            <w:tcW w:w="1266" w:type="dxa"/>
            <w:tcBorders>
              <w:top w:val="nil"/>
              <w:left w:val="single" w:sz="8" w:space="0" w:color="auto"/>
              <w:bottom w:val="single" w:sz="4" w:space="0" w:color="auto"/>
              <w:right w:val="single" w:sz="4" w:space="0" w:color="auto"/>
            </w:tcBorders>
            <w:noWrap/>
            <w:vAlign w:val="center"/>
            <w:hideMark/>
          </w:tcPr>
          <w:p w14:paraId="57B2DFF4" w14:textId="77777777" w:rsidR="006824D0" w:rsidRPr="006824D0" w:rsidRDefault="006824D0" w:rsidP="006824D0">
            <w:pPr>
              <w:spacing w:after="0" w:line="276" w:lineRule="auto"/>
              <w:jc w:val="right"/>
              <w:rPr>
                <w:rFonts w:ascii="Calibri" w:eastAsia="Times New Roman" w:hAnsi="Calibri" w:cs="Calibri"/>
                <w:color w:val="000000"/>
                <w:kern w:val="0"/>
                <w:sz w:val="18"/>
                <w:szCs w:val="18"/>
                <w:lang w:eastAsia="es-MX"/>
                <w14:ligatures w14:val="none"/>
              </w:rPr>
            </w:pPr>
            <w:r w:rsidRPr="006824D0">
              <w:rPr>
                <w:rFonts w:ascii="Calibri" w:eastAsia="Times New Roman" w:hAnsi="Calibri" w:cs="Calibri"/>
                <w:color w:val="000000"/>
                <w:kern w:val="0"/>
                <w:sz w:val="18"/>
                <w:szCs w:val="18"/>
                <w:lang w:eastAsia="es-MX"/>
                <w14:ligatures w14:val="none"/>
              </w:rPr>
              <w:t xml:space="preserve">Población: </w:t>
            </w:r>
          </w:p>
        </w:tc>
        <w:tc>
          <w:tcPr>
            <w:tcW w:w="7552" w:type="dxa"/>
            <w:tcBorders>
              <w:top w:val="single" w:sz="4" w:space="0" w:color="auto"/>
              <w:left w:val="nil"/>
              <w:bottom w:val="single" w:sz="4" w:space="0" w:color="auto"/>
              <w:right w:val="single" w:sz="8" w:space="0" w:color="000000"/>
            </w:tcBorders>
            <w:noWrap/>
            <w:vAlign w:val="center"/>
            <w:hideMark/>
          </w:tcPr>
          <w:p w14:paraId="044678F3" w14:textId="77777777" w:rsidR="006824D0" w:rsidRPr="006824D0" w:rsidRDefault="006824D0" w:rsidP="006824D0">
            <w:pPr>
              <w:spacing w:after="0" w:line="276" w:lineRule="auto"/>
              <w:jc w:val="both"/>
              <w:rPr>
                <w:rFonts w:ascii="Calibri" w:eastAsia="Times New Roman" w:hAnsi="Calibri" w:cs="Calibri"/>
                <w:color w:val="000000"/>
                <w:kern w:val="0"/>
                <w:sz w:val="18"/>
                <w:szCs w:val="18"/>
                <w:lang w:eastAsia="es-MX"/>
                <w14:ligatures w14:val="none"/>
              </w:rPr>
            </w:pPr>
            <w:r w:rsidRPr="006824D0">
              <w:rPr>
                <w:rFonts w:ascii="Calibri" w:eastAsia="Times New Roman" w:hAnsi="Calibri" w:cs="Calibri"/>
                <w:color w:val="000000"/>
                <w:kern w:val="0"/>
                <w:sz w:val="18"/>
                <w:szCs w:val="18"/>
                <w:lang w:eastAsia="es-MX"/>
                <w14:ligatures w14:val="none"/>
              </w:rPr>
              <w:t>Las personas en el estado de Sinaloa con deficiente capacitación, promoción, divulgación de derechos humanos y, atención y solución a denuncias por presuntas violaciones a sus derechos humanos.</w:t>
            </w:r>
          </w:p>
        </w:tc>
      </w:tr>
      <w:tr w:rsidR="006824D0" w:rsidRPr="006824D0" w14:paraId="5EE0E492" w14:textId="77777777" w:rsidTr="00DB7F10">
        <w:trPr>
          <w:trHeight w:val="255"/>
        </w:trPr>
        <w:tc>
          <w:tcPr>
            <w:tcW w:w="1266" w:type="dxa"/>
            <w:tcBorders>
              <w:top w:val="nil"/>
              <w:left w:val="single" w:sz="8" w:space="0" w:color="auto"/>
              <w:bottom w:val="single" w:sz="4" w:space="0" w:color="auto"/>
              <w:right w:val="single" w:sz="4" w:space="0" w:color="auto"/>
            </w:tcBorders>
            <w:noWrap/>
            <w:vAlign w:val="center"/>
            <w:hideMark/>
          </w:tcPr>
          <w:p w14:paraId="2DCE9AB9" w14:textId="77777777" w:rsidR="006824D0" w:rsidRPr="006824D0" w:rsidRDefault="006824D0" w:rsidP="006824D0">
            <w:pPr>
              <w:spacing w:after="0" w:line="276" w:lineRule="auto"/>
              <w:jc w:val="right"/>
              <w:rPr>
                <w:rFonts w:ascii="Calibri" w:eastAsia="Times New Roman" w:hAnsi="Calibri" w:cs="Calibri"/>
                <w:color w:val="000000"/>
                <w:kern w:val="0"/>
                <w:sz w:val="18"/>
                <w:szCs w:val="18"/>
                <w:lang w:eastAsia="es-MX"/>
                <w14:ligatures w14:val="none"/>
              </w:rPr>
            </w:pPr>
            <w:r w:rsidRPr="006824D0">
              <w:rPr>
                <w:rFonts w:ascii="Calibri" w:eastAsia="Times New Roman" w:hAnsi="Calibri" w:cs="Calibri"/>
                <w:color w:val="000000"/>
                <w:kern w:val="0"/>
                <w:sz w:val="18"/>
                <w:szCs w:val="18"/>
                <w:lang w:eastAsia="es-MX"/>
                <w14:ligatures w14:val="none"/>
              </w:rPr>
              <w:t xml:space="preserve">Descripción: </w:t>
            </w:r>
          </w:p>
        </w:tc>
        <w:tc>
          <w:tcPr>
            <w:tcW w:w="7552" w:type="dxa"/>
            <w:tcBorders>
              <w:top w:val="single" w:sz="4" w:space="0" w:color="auto"/>
              <w:left w:val="nil"/>
              <w:bottom w:val="single" w:sz="4" w:space="0" w:color="auto"/>
              <w:right w:val="single" w:sz="8" w:space="0" w:color="000000"/>
            </w:tcBorders>
            <w:noWrap/>
            <w:vAlign w:val="center"/>
            <w:hideMark/>
          </w:tcPr>
          <w:p w14:paraId="6A126606" w14:textId="77777777" w:rsidR="006824D0" w:rsidRPr="006824D0" w:rsidRDefault="006824D0" w:rsidP="006824D0">
            <w:pPr>
              <w:spacing w:after="0" w:line="276" w:lineRule="auto"/>
              <w:jc w:val="both"/>
              <w:rPr>
                <w:rFonts w:ascii="Calibri" w:eastAsia="Times New Roman" w:hAnsi="Calibri" w:cs="Calibri"/>
                <w:color w:val="000000"/>
                <w:kern w:val="0"/>
                <w:sz w:val="18"/>
                <w:szCs w:val="18"/>
                <w:lang w:eastAsia="es-MX"/>
                <w14:ligatures w14:val="none"/>
              </w:rPr>
            </w:pPr>
            <w:r w:rsidRPr="006824D0">
              <w:rPr>
                <w:rFonts w:ascii="Calibri" w:eastAsia="Times New Roman" w:hAnsi="Calibri" w:cs="Calibri"/>
                <w:color w:val="000000"/>
                <w:kern w:val="0"/>
                <w:sz w:val="18"/>
                <w:szCs w:val="18"/>
                <w:lang w:eastAsia="es-MX"/>
                <w14:ligatures w14:val="none"/>
              </w:rPr>
              <w:t>Deficiente atención a las necesidades de capacitación, promoción, divulgación de derechos humanos y, atención y solución a denuncias por presuntas violaciones a sus derechos humanos.</w:t>
            </w:r>
          </w:p>
        </w:tc>
      </w:tr>
      <w:tr w:rsidR="006824D0" w:rsidRPr="006824D0" w14:paraId="3C5E76E2" w14:textId="77777777" w:rsidTr="00DB7F10">
        <w:trPr>
          <w:trHeight w:val="270"/>
        </w:trPr>
        <w:tc>
          <w:tcPr>
            <w:tcW w:w="1266" w:type="dxa"/>
            <w:tcBorders>
              <w:top w:val="single" w:sz="4" w:space="0" w:color="auto"/>
              <w:left w:val="single" w:sz="8" w:space="0" w:color="auto"/>
              <w:bottom w:val="single" w:sz="4" w:space="0" w:color="auto"/>
              <w:right w:val="single" w:sz="4" w:space="0" w:color="auto"/>
            </w:tcBorders>
            <w:noWrap/>
            <w:vAlign w:val="center"/>
            <w:hideMark/>
          </w:tcPr>
          <w:p w14:paraId="74ADA08F" w14:textId="77777777" w:rsidR="006824D0" w:rsidRPr="006824D0" w:rsidRDefault="006824D0" w:rsidP="006824D0">
            <w:pPr>
              <w:spacing w:after="0" w:line="276" w:lineRule="auto"/>
              <w:jc w:val="right"/>
              <w:rPr>
                <w:rFonts w:ascii="Calibri" w:eastAsia="Times New Roman" w:hAnsi="Calibri" w:cs="Calibri"/>
                <w:color w:val="000000"/>
                <w:kern w:val="0"/>
                <w:sz w:val="18"/>
                <w:szCs w:val="18"/>
                <w:lang w:eastAsia="es-MX"/>
                <w14:ligatures w14:val="none"/>
              </w:rPr>
            </w:pPr>
            <w:r w:rsidRPr="006824D0">
              <w:rPr>
                <w:rFonts w:ascii="Calibri" w:eastAsia="Times New Roman" w:hAnsi="Calibri" w:cs="Calibri"/>
                <w:color w:val="000000"/>
                <w:kern w:val="0"/>
                <w:sz w:val="18"/>
                <w:szCs w:val="18"/>
                <w:lang w:eastAsia="es-MX"/>
                <w14:ligatures w14:val="none"/>
              </w:rPr>
              <w:t xml:space="preserve">Magnitud: </w:t>
            </w:r>
          </w:p>
        </w:tc>
        <w:tc>
          <w:tcPr>
            <w:tcW w:w="7552" w:type="dxa"/>
            <w:tcBorders>
              <w:top w:val="single" w:sz="4" w:space="0" w:color="auto"/>
              <w:left w:val="nil"/>
              <w:bottom w:val="single" w:sz="4" w:space="0" w:color="auto"/>
              <w:right w:val="single" w:sz="8" w:space="0" w:color="000000"/>
            </w:tcBorders>
            <w:noWrap/>
            <w:vAlign w:val="center"/>
            <w:hideMark/>
          </w:tcPr>
          <w:p w14:paraId="43F580E4" w14:textId="77777777" w:rsidR="006824D0" w:rsidRPr="006824D0" w:rsidRDefault="006824D0" w:rsidP="006824D0">
            <w:pPr>
              <w:spacing w:after="0" w:line="276" w:lineRule="auto"/>
              <w:jc w:val="both"/>
              <w:rPr>
                <w:rFonts w:ascii="Calibri" w:eastAsia="Times New Roman" w:hAnsi="Calibri" w:cs="Calibri"/>
                <w:color w:val="000000"/>
                <w:kern w:val="0"/>
                <w:sz w:val="18"/>
                <w:szCs w:val="18"/>
                <w:lang w:eastAsia="es-MX"/>
                <w14:ligatures w14:val="none"/>
              </w:rPr>
            </w:pPr>
            <w:r w:rsidRPr="006824D0">
              <w:rPr>
                <w:rFonts w:ascii="Calibri" w:eastAsia="Times New Roman" w:hAnsi="Calibri" w:cs="Calibri"/>
                <w:color w:val="000000"/>
                <w:kern w:val="0"/>
                <w:sz w:val="18"/>
                <w:szCs w:val="18"/>
                <w:lang w:eastAsia="es-MX"/>
                <w14:ligatures w14:val="none"/>
              </w:rPr>
              <w:t>Deficiente.</w:t>
            </w:r>
          </w:p>
        </w:tc>
      </w:tr>
    </w:tbl>
    <w:p w14:paraId="0F037D98" w14:textId="77777777" w:rsidR="006824D0" w:rsidRPr="006824D0" w:rsidRDefault="006824D0" w:rsidP="006824D0">
      <w:pPr>
        <w:spacing w:after="0" w:line="276" w:lineRule="auto"/>
        <w:jc w:val="both"/>
        <w:rPr>
          <w:rFonts w:ascii="Calibri" w:eastAsia="Calibri" w:hAnsi="Calibri" w:cs="Calibri"/>
          <w:kern w:val="0"/>
          <w:sz w:val="20"/>
          <w:szCs w:val="20"/>
          <w14:ligatures w14:val="none"/>
        </w:rPr>
      </w:pPr>
    </w:p>
    <w:p w14:paraId="13F5DA42" w14:textId="77777777" w:rsidR="006824D0" w:rsidRPr="006824D0" w:rsidRDefault="006824D0" w:rsidP="006824D0">
      <w:pPr>
        <w:spacing w:after="0" w:line="276" w:lineRule="auto"/>
        <w:jc w:val="both"/>
        <w:rPr>
          <w:rFonts w:ascii="Calibri" w:eastAsia="Calibri" w:hAnsi="Calibri" w:cs="Calibri"/>
          <w:kern w:val="0"/>
          <w:sz w:val="20"/>
          <w:szCs w:val="20"/>
          <w14:ligatures w14:val="none"/>
        </w:rPr>
      </w:pPr>
      <w:r w:rsidRPr="006824D0">
        <w:rPr>
          <w:rFonts w:ascii="Calibri" w:eastAsia="Calibri" w:hAnsi="Calibri" w:cs="Calibri"/>
          <w:kern w:val="0"/>
          <w:sz w:val="20"/>
          <w:szCs w:val="20"/>
          <w14:ligatures w14:val="none"/>
        </w:rPr>
        <w:t>Por lo tanto, el enunciado de definición del problema quedaría establecido de la siguiente forma:</w:t>
      </w:r>
    </w:p>
    <w:p w14:paraId="59C2C5A1" w14:textId="77777777" w:rsidR="006824D0" w:rsidRPr="006824D0" w:rsidRDefault="006824D0" w:rsidP="006824D0">
      <w:pPr>
        <w:spacing w:after="0" w:line="276" w:lineRule="auto"/>
        <w:jc w:val="both"/>
        <w:rPr>
          <w:rFonts w:ascii="Calibri" w:eastAsia="Calibri" w:hAnsi="Calibri" w:cs="Calibri"/>
          <w:kern w:val="0"/>
          <w:sz w:val="20"/>
          <w:szCs w:val="20"/>
          <w14:ligatures w14:val="none"/>
        </w:rPr>
      </w:pPr>
    </w:p>
    <w:p w14:paraId="20249F69" w14:textId="77777777" w:rsidR="006824D0" w:rsidRPr="006824D0" w:rsidRDefault="006824D0" w:rsidP="006824D0">
      <w:pPr>
        <w:spacing w:after="0" w:line="276" w:lineRule="auto"/>
        <w:jc w:val="both"/>
        <w:rPr>
          <w:rFonts w:ascii="Calibri" w:eastAsia="Calibri" w:hAnsi="Calibri" w:cs="Calibri"/>
          <w:b/>
          <w:bCs/>
          <w:kern w:val="0"/>
          <w:sz w:val="20"/>
          <w:szCs w:val="20"/>
          <w14:ligatures w14:val="none"/>
        </w:rPr>
      </w:pPr>
      <w:r w:rsidRPr="006824D0">
        <w:rPr>
          <w:rFonts w:ascii="Calibri" w:eastAsia="Calibri" w:hAnsi="Calibri" w:cs="Calibri"/>
          <w:b/>
          <w:bCs/>
          <w:kern w:val="0"/>
          <w:sz w:val="20"/>
          <w:szCs w:val="20"/>
          <w14:ligatures w14:val="none"/>
        </w:rPr>
        <w:t>Las personas en el estado de Sinaloa reciben una deficiente atención en capacitación, promoción, divulgación de derechos humanos y, atención y solución a denuncias por presuntas violaciones a sus derechos humanos.</w:t>
      </w:r>
    </w:p>
    <w:p w14:paraId="38044487" w14:textId="77777777" w:rsidR="006824D0" w:rsidRPr="006824D0" w:rsidRDefault="006824D0" w:rsidP="006824D0">
      <w:pPr>
        <w:spacing w:after="0" w:line="276" w:lineRule="auto"/>
        <w:jc w:val="both"/>
        <w:rPr>
          <w:rFonts w:ascii="Calibri" w:eastAsia="Calibri" w:hAnsi="Calibri" w:cs="Calibri"/>
          <w:kern w:val="0"/>
          <w:sz w:val="20"/>
          <w:szCs w:val="20"/>
          <w14:ligatures w14:val="none"/>
        </w:rPr>
      </w:pPr>
    </w:p>
    <w:tbl>
      <w:tblPr>
        <w:tblW w:w="5000" w:type="pct"/>
        <w:tblCellMar>
          <w:left w:w="70" w:type="dxa"/>
          <w:right w:w="70" w:type="dxa"/>
        </w:tblCellMar>
        <w:tblLook w:val="04A0" w:firstRow="1" w:lastRow="0" w:firstColumn="1" w:lastColumn="0" w:noHBand="0" w:noVBand="1"/>
      </w:tblPr>
      <w:tblGrid>
        <w:gridCol w:w="8818"/>
      </w:tblGrid>
      <w:tr w:rsidR="006824D0" w:rsidRPr="006824D0" w14:paraId="3DDD8A95" w14:textId="77777777" w:rsidTr="00DB7F10">
        <w:trPr>
          <w:trHeight w:val="270"/>
          <w:tblHeader/>
        </w:trPr>
        <w:tc>
          <w:tcPr>
            <w:tcW w:w="5000" w:type="pct"/>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6C5D087" w14:textId="77777777" w:rsidR="006824D0" w:rsidRPr="006824D0" w:rsidRDefault="006824D0" w:rsidP="006824D0">
            <w:pPr>
              <w:spacing w:after="0" w:line="276" w:lineRule="auto"/>
              <w:jc w:val="center"/>
              <w:rPr>
                <w:rFonts w:ascii="Calibri" w:eastAsia="Times New Roman" w:hAnsi="Calibri" w:cs="Calibri"/>
                <w:b/>
                <w:bCs/>
                <w:color w:val="000000"/>
                <w:kern w:val="0"/>
                <w:sz w:val="20"/>
                <w:szCs w:val="20"/>
                <w:lang w:eastAsia="es-MX"/>
                <w14:ligatures w14:val="none"/>
              </w:rPr>
            </w:pPr>
            <w:r w:rsidRPr="006824D0">
              <w:rPr>
                <w:rFonts w:ascii="Calibri" w:eastAsia="Times New Roman" w:hAnsi="Calibri" w:cs="Calibri"/>
                <w:b/>
                <w:bCs/>
                <w:color w:val="000000"/>
                <w:kern w:val="0"/>
                <w:sz w:val="20"/>
                <w:szCs w:val="20"/>
                <w:lang w:eastAsia="es-MX"/>
                <w14:ligatures w14:val="none"/>
              </w:rPr>
              <w:t>DIAGNÓSTICO DEL PROBLEMA</w:t>
            </w:r>
          </w:p>
        </w:tc>
      </w:tr>
      <w:tr w:rsidR="006824D0" w:rsidRPr="006824D0" w14:paraId="7D04C4A7" w14:textId="77777777" w:rsidTr="00DB7F10">
        <w:trPr>
          <w:trHeight w:val="1965"/>
        </w:trPr>
        <w:tc>
          <w:tcPr>
            <w:tcW w:w="5000" w:type="pct"/>
            <w:tcBorders>
              <w:top w:val="single" w:sz="8" w:space="0" w:color="auto"/>
              <w:left w:val="single" w:sz="4" w:space="0" w:color="auto"/>
              <w:bottom w:val="single" w:sz="4" w:space="0" w:color="auto"/>
              <w:right w:val="single" w:sz="8" w:space="0" w:color="000000"/>
            </w:tcBorders>
            <w:vAlign w:val="center"/>
            <w:hideMark/>
          </w:tcPr>
          <w:p w14:paraId="771A512A"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La dignidad humana ha sido reconocida en diversos instrumentos internacionales, tales como la Declaración Universal de los Derechos Humanos que establece: “Artículo 1. Todos los seres humanos nacen libres e iguales en dignidad y derechos y, dotados como están de razón y conciencia, deben comportarse fraternalmente los unos con los otros”. De igual manera, en los artículos 22 y 23 hace referencia a la dignidad humana y al libre desarrollo de su personalidad.</w:t>
            </w:r>
          </w:p>
          <w:p w14:paraId="47A8ACB2"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2CF60CFF"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Por lo tanto, la Constitución Política de los Estados Unidos Mexicanos reconoce en su artículo 1°, párrafos primero y tercero que todas las personas gozarán de los derechos humanos reconocidos en esa Constitución y en los tratados internacionales de los que el Estado Mexicano sea parte, así como de las garantías para su protección. Asimismo, ordena que todas las autoridades, en el ámbito de sus competencias, tienen la obligación de promover, respetar, proteger y garantizar los derechos humanos de conformidad con los principios de universalidad, interdependencia, indivisibilidad y progresividad.</w:t>
            </w:r>
          </w:p>
          <w:p w14:paraId="765D4E6D"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7496A9D9"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La defensa y protección no jurisdiccional de los derechos humanos, es un mandato establecido en el artículo 102, apartado B de la Constitución Política de los Estados Unidos Mexicanos, conforme a la reforma publicada en el Diario Oficial de la Federación el día 28 de enero de 1992, mediante la cual se ordenó establecer organismos de protección de los derechos humanos que ampara el orden jurídico mexicano, los que conocerán de quejas en contra de actos u omisiones de naturaleza administrativa provenientes de cualquier autoridad o servidor público, que violen estos derechos. Asimismo, se estableció la conformación de organismos protectores de los derechos humanos en las entidades federativas.</w:t>
            </w:r>
          </w:p>
          <w:p w14:paraId="52FEEC95"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18C6E89F"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 xml:space="preserve">Frente a ese mandato constitucional, el día 29 de enero de 1993 se publicó en el Periódico Oficial “El Estado de Sinaloa”, la reforma a la Constitución Política del Estado de Sinaloa, con la que se adicionó el artículo 77 Bis, estableciéndose la Comisión Estatal de los Derechos Humanos de Sinaloa, la cual tiene por objeto esencial la defensa, protección, observancia, promoción, estudio y divulgación de los Derechos Humanos reconocidos en el orden jurídico mexicano. Entre sus principales atribuciones se encuentran el recibir denuncias y quejas por presuntas violaciones a los derechos humanos; formular recomendaciones públicas no vinculatorias a las autoridades presuntamente responsables, formular propuestas de conciliación entre </w:t>
            </w:r>
            <w:r w:rsidRPr="006824D0">
              <w:rPr>
                <w:rFonts w:ascii="Calibri" w:eastAsia="Times New Roman" w:hAnsi="Calibri" w:cs="Calibri"/>
                <w:color w:val="000000"/>
                <w:kern w:val="0"/>
                <w:sz w:val="20"/>
                <w:szCs w:val="20"/>
                <w:lang w:eastAsia="es-MX"/>
                <w14:ligatures w14:val="none"/>
              </w:rPr>
              <w:lastRenderedPageBreak/>
              <w:t>quejoso o agraviado y las autoridades presuntamente responsables, orientar legalmente a cualquier ciudadano, supervisar el respeto a los derechos humanos sobre todo en grupos en situación de vulnerabilidad e impulsar la promoción y observancia de los derechos humanos en el Estado.</w:t>
            </w:r>
          </w:p>
          <w:p w14:paraId="21D6E318"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4BD2E68F"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De acuerdo con el Informe Anual de Actividades 2020 de la Comisión Estatal de Derechos Humanos de Sinaloa (CEDH), se presentaron 2,752 quejas por presuntas violaciones de derechos humanos, de las cuales, 12.8% fueron calificadas como actas o hechos presuntamente violatorios, 1.2%                                                                                                                                                                                                                                                                                                                                                                                                                                                                                                                                                                                                                                                                                                                                                                                                                                                                                                                                                                                                                                                                                                                                                                                                                                                                                                 como pendientes de calificar, 83.5% fueron solucionados de manera inmediata (se resolvieron sin iniciar un expediente de queja) y 2.5% se calificaron como incompetentes a los asuntos de esta Comisión.</w:t>
            </w:r>
          </w:p>
          <w:p w14:paraId="74E3E9CB"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668CF586"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En el Informe Anual de Actividades 2021 de la Comisión Estatal de Derechos Humanos de Sinaloa (CEDH), se presentaron 2,484 quejas por presuntas violaciones de derechos humanos, de las cuales, 19.9% fueron calificadas como actas o hechos presuntamente violatorios, 2.3%                                                                                                                                                                                                                                                                                                                                                                                                                                                                                                                                                                                                                                                                                                                                                                                                                                                                                                                                                                                                                                                                                                                                                                                                                                                                                                 como pendientes de calificar, 73.7% fueron solucionados de manera inmediata (se resolvieron sin iniciar un expediente de queja) y 4.1% se calificaron como incompetentes a los asuntos de esta Comisión.</w:t>
            </w:r>
          </w:p>
          <w:p w14:paraId="48B3FB5B"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3BBEBE8E"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Durante el ejercicio 2022, el Informe Anual de Actividades reporta que se presentaron 2,756 quejas por presuntas violaciones a derechos humanos, de las cuales 20.0% se califican como actas o hechos presuntamente violatorios de derechos humanos, 2.7% como pendientes de calificar, 71.9% fueron asuntos solucionados de manera inmediata, y 5.4% fueron calificadas incompetentes a esta Comisión.</w:t>
            </w:r>
          </w:p>
          <w:p w14:paraId="1FA12807"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0489513D"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En el Informe Anual de Actividades 2023, establece que se recibieron 3,256 quejas de las cuales 18.5% fueron calificadas como actos o hechos presuntamente violatorios de derechos humanos, 3.0% como pendientes de calificar, 73.3% fueron solucionados de manera inmediata (se resolvieron sin iniciar un expediente de queja) y 5.2% se calificaron como incompetentes a los asuntos de esta Comisión.</w:t>
            </w:r>
          </w:p>
          <w:p w14:paraId="22FE4995"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1059AA5B"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Finalmente, el Informe Anual de Actividades 2024, establece que se recibieron 2,834 quejas de las cuales 18.5% fueron calificadas como actos o hechos presuntamente violatorios de derechos humanos, 2.3% como pendientes de calificar, 71.7% fueron solucionados de manera inmediata (se resolvieron sin iniciar un expediente de queja) y 7.5% se calificaron como incompetentes a los asuntos de esta Comisión.</w:t>
            </w:r>
          </w:p>
          <w:p w14:paraId="5AE914A3"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3AC9982B"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La violación de derechos humanos es una práctica en la que participan las personas servidoras públicas, al incumplir el marco normativo que rige su actuación, ocasionando faltas u omisiones a la legalidad, honradez, lealtad, imparcialidad y eficacia en el desempeño de sus funciones, empleos, cargos o comisiones en el estado de Sinaloa. Debido a determinadas circunstancias del entorno social, existen sectores de la población que se encuentran en situaciones de desventaja y enfrentan un mayor riesgo de que sus derechos humanos no sean respetados. La vulnerabilidad no es una condición personal, es decir, no se trata de la característica del ser humano. Las personas no son por sí mismas “vulnerables”, “débiles” o “indefensas”, sino que, por una condición particular, se enfrentan a un entorno que, injustamente, restringe o impide el desarrollo de uno o varios aspectos de su vida, quedando sujetas a una situación de vulnerabilidad y, por lo tanto, a un mayor riesgo de ver sus derechos afectados.</w:t>
            </w:r>
          </w:p>
          <w:p w14:paraId="62DF7320"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315073BC"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lastRenderedPageBreak/>
              <w:t>Aunado a lo anterior, las presuntas víctimas de violaciones a derechos humanos en el estado se encuentran con un limitado acceso a los servicios de la CEDH, enfrentándose también a una deficiente coordinación entre instituciones y autoridades públicas para atender y dar seguimiento a sus quejas.</w:t>
            </w:r>
          </w:p>
          <w:p w14:paraId="7674B65B"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7684B0B3"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Por otra parte, existe una baja cultura de respeto a los derechos humanos en la sociedad sinaloense, originada en parte por la insuficiente promoción, estudio y divulgación en la materia, es decir, en acciones de carácter preventivo dirigidas a las personas servidoras públicas y a la sociedad en general. Lo anterior ocasiona una ineficacia en la atención de las presuntas víctimas, impunidad de los presuntos responsables, falta de credibilidad en las instituciones protectoras de derechos humanos, indefensión de las presuntas víctimas ante presuntas violaciones y en ocasiones, repetición de violaciones a los derechos humanos.</w:t>
            </w:r>
          </w:p>
          <w:p w14:paraId="5B7BB5BE"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33F81776" w14:textId="77777777" w:rsidR="006824D0" w:rsidRPr="006824D0" w:rsidRDefault="006824D0" w:rsidP="006824D0">
            <w:pPr>
              <w:autoSpaceDE w:val="0"/>
              <w:autoSpaceDN w:val="0"/>
              <w:adjustRightInd w:val="0"/>
              <w:spacing w:after="0" w:line="276" w:lineRule="auto"/>
              <w:jc w:val="both"/>
              <w:rPr>
                <w:rFonts w:ascii="Calibri" w:eastAsia="Calibri" w:hAnsi="Calibri" w:cs="Calibri"/>
                <w:color w:val="000000"/>
                <w:kern w:val="0"/>
                <w:sz w:val="20"/>
                <w:szCs w:val="20"/>
                <w14:ligatures w14:val="none"/>
              </w:rPr>
            </w:pPr>
            <w:r w:rsidRPr="006824D0">
              <w:rPr>
                <w:rFonts w:ascii="Calibri" w:eastAsia="Calibri" w:hAnsi="Calibri" w:cs="Calibri"/>
                <w:color w:val="000000"/>
                <w:kern w:val="0"/>
                <w:sz w:val="20"/>
                <w:szCs w:val="20"/>
                <w14:ligatures w14:val="none"/>
              </w:rPr>
              <w:t xml:space="preserve">Aunado a lo anterior, las presuntas víctimas de violaciones a derechos humanos en el estado se encuentran con un limitado acceso a los servicios de la CEDH, enfrentándose también a una deficiente coordinación entre instituciones y autoridades públicas para atender y dar seguimiento a sus quejas. </w:t>
            </w:r>
          </w:p>
          <w:p w14:paraId="4FA8D0C0" w14:textId="77777777" w:rsidR="006824D0" w:rsidRPr="006824D0" w:rsidRDefault="006824D0" w:rsidP="006824D0">
            <w:pPr>
              <w:autoSpaceDE w:val="0"/>
              <w:autoSpaceDN w:val="0"/>
              <w:adjustRightInd w:val="0"/>
              <w:spacing w:after="0" w:line="276" w:lineRule="auto"/>
              <w:jc w:val="both"/>
              <w:rPr>
                <w:rFonts w:ascii="Calibri" w:eastAsia="Calibri" w:hAnsi="Calibri" w:cs="Calibri"/>
                <w:color w:val="000000"/>
                <w:kern w:val="0"/>
                <w:sz w:val="20"/>
                <w:szCs w:val="20"/>
                <w14:ligatures w14:val="none"/>
              </w:rPr>
            </w:pPr>
          </w:p>
          <w:p w14:paraId="1A5D2926" w14:textId="77777777" w:rsidR="006824D0" w:rsidRPr="006824D0" w:rsidRDefault="006824D0" w:rsidP="006824D0">
            <w:pPr>
              <w:autoSpaceDE w:val="0"/>
              <w:autoSpaceDN w:val="0"/>
              <w:adjustRightInd w:val="0"/>
              <w:spacing w:after="0" w:line="276" w:lineRule="auto"/>
              <w:jc w:val="both"/>
              <w:rPr>
                <w:rFonts w:ascii="Calibri" w:eastAsia="Calibri" w:hAnsi="Calibri" w:cs="Calibri"/>
                <w:color w:val="000000"/>
                <w:kern w:val="0"/>
                <w:sz w:val="20"/>
                <w:szCs w:val="20"/>
                <w14:ligatures w14:val="none"/>
              </w:rPr>
            </w:pPr>
            <w:r w:rsidRPr="006824D0">
              <w:rPr>
                <w:rFonts w:ascii="Calibri" w:eastAsia="Calibri" w:hAnsi="Calibri" w:cs="Calibri"/>
                <w:color w:val="000000"/>
                <w:kern w:val="0"/>
                <w:sz w:val="20"/>
                <w:szCs w:val="20"/>
                <w14:ligatures w14:val="none"/>
              </w:rPr>
              <w:t xml:space="preserve">Por lo tanto, mediante el Programa presupuestario Política de Protección y Promoción de los Derechos Humanos, se pretende consolidar la calidad de los servicios que la Comisión Estatal de los Derechos Humanos brinda a la sociedad, al tiempo que busca arraigar una Cultura de Respeto a los Derechos de las y los sinaloenses. </w:t>
            </w:r>
          </w:p>
          <w:p w14:paraId="030050A7" w14:textId="77777777" w:rsidR="006824D0" w:rsidRPr="006824D0" w:rsidRDefault="006824D0" w:rsidP="006824D0">
            <w:pPr>
              <w:autoSpaceDE w:val="0"/>
              <w:autoSpaceDN w:val="0"/>
              <w:adjustRightInd w:val="0"/>
              <w:spacing w:after="0" w:line="276" w:lineRule="auto"/>
              <w:jc w:val="both"/>
              <w:rPr>
                <w:rFonts w:ascii="Calibri" w:eastAsia="Times New Roman" w:hAnsi="Calibri" w:cs="Calibri"/>
                <w:color w:val="000000"/>
                <w:kern w:val="0"/>
                <w:sz w:val="20"/>
                <w:szCs w:val="20"/>
                <w:lang w:eastAsia="es-MX"/>
                <w14:ligatures w14:val="none"/>
              </w:rPr>
            </w:pPr>
          </w:p>
          <w:p w14:paraId="3E22D2D6"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Las actividades de promoción se justifican porque el conocimiento de los derechos humanos únicamente es distinguido por determinados segmentos de la población, sin embargo, esto no es suficiente para que de forma automática sea conocido por todos los habitantes, ni para evitar la violación de dichos derechos. En este sentido, la obligación de promover los derechos humanos tiene como objetivo que las personas conozcan sus derechos y mecanismos de defensa, así como ampliar la base de realización de los derechos fundamentales, por lo que, es necesaria su divulgación a través de múltiples instancias y a varios niveles para garantizar su cumplimiento.</w:t>
            </w:r>
          </w:p>
          <w:p w14:paraId="58FF301D"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50E5A73E"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Un estudio de opinión pública sobre la “Percepción sobre los derechos humanos en general y situación en Sinaloa, Evaluación de la gestión institucional de la Comisión Estatal de los Derechos Humanos de Sinaloa”, publicado en 2022, aplicó una encuesta cara a cara a 1,200 personas en el estado de Sinaloa para conocer la percepción sobre los derechos humanos y su situación, así como indagar en el grado de conocimiento sobre la Comisión Estatal de los Derechos Humanos de Sinaloa y evaluar su desempeño. Entre los principales resultados se encuentra que, en materia de capacitación, promoción y divulgación de los derechos humanos, una reducida minoría afirma haber recibido alguna plática o asesoría sobre derechos humanos, (13%), que usualmente fue dada en la escuela.</w:t>
            </w:r>
          </w:p>
          <w:p w14:paraId="154DE625"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p>
          <w:p w14:paraId="6882CD24" w14:textId="77777777" w:rsidR="006824D0" w:rsidRPr="006824D0" w:rsidRDefault="006824D0" w:rsidP="006824D0">
            <w:pPr>
              <w:spacing w:after="0" w:line="276" w:lineRule="auto"/>
              <w:jc w:val="both"/>
              <w:rPr>
                <w:rFonts w:ascii="Calibri" w:eastAsia="Times New Roman" w:hAnsi="Calibri" w:cs="Calibri"/>
                <w:color w:val="000000"/>
                <w:kern w:val="0"/>
                <w:sz w:val="20"/>
                <w:szCs w:val="20"/>
                <w:lang w:eastAsia="es-MX"/>
                <w14:ligatures w14:val="none"/>
              </w:rPr>
            </w:pPr>
            <w:r w:rsidRPr="006824D0">
              <w:rPr>
                <w:rFonts w:ascii="Calibri" w:eastAsia="Times New Roman" w:hAnsi="Calibri" w:cs="Calibri"/>
                <w:color w:val="000000"/>
                <w:kern w:val="0"/>
                <w:sz w:val="20"/>
                <w:szCs w:val="20"/>
                <w:lang w:eastAsia="es-MX"/>
                <w14:ligatures w14:val="none"/>
              </w:rPr>
              <w:t>Por lo anterior, mediante el Programa presupuestario Política de Protección y Promoción de los Derechos Humanos, se pretende consolidar la calidad de los servicios que la Comisión Estatal de los Derechos Humanos brinda a la sociedad, al tiempo que busca arraigar una Cultura de Respeto a los Derechos de las y los sinaloenses.</w:t>
            </w:r>
          </w:p>
        </w:tc>
      </w:tr>
    </w:tbl>
    <w:p w14:paraId="402B5805" w14:textId="77777777" w:rsidR="006824D0" w:rsidRPr="006824D0" w:rsidRDefault="006824D0">
      <w:pPr>
        <w:rPr>
          <w:lang w:val="es-ES"/>
        </w:rPr>
      </w:pPr>
    </w:p>
    <w:sectPr w:rsidR="006824D0" w:rsidRPr="006824D0">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090B" w14:textId="77777777" w:rsidR="007375C4" w:rsidRDefault="007375C4" w:rsidP="006824D0">
      <w:pPr>
        <w:spacing w:after="0" w:line="240" w:lineRule="auto"/>
      </w:pPr>
      <w:r>
        <w:separator/>
      </w:r>
    </w:p>
  </w:endnote>
  <w:endnote w:type="continuationSeparator" w:id="0">
    <w:p w14:paraId="1416C67E" w14:textId="77777777" w:rsidR="007375C4" w:rsidRDefault="007375C4" w:rsidP="0068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D9F5" w14:textId="77777777" w:rsidR="007375C4" w:rsidRDefault="007375C4" w:rsidP="006824D0">
      <w:pPr>
        <w:spacing w:after="0" w:line="240" w:lineRule="auto"/>
      </w:pPr>
      <w:r>
        <w:separator/>
      </w:r>
    </w:p>
  </w:footnote>
  <w:footnote w:type="continuationSeparator" w:id="0">
    <w:p w14:paraId="4972D6CB" w14:textId="77777777" w:rsidR="007375C4" w:rsidRDefault="007375C4" w:rsidP="0068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273"/>
    </w:tblGrid>
    <w:tr w:rsidR="006824D0" w:rsidRPr="006824D0" w14:paraId="5D35B476" w14:textId="77777777" w:rsidTr="00DB7F10">
      <w:trPr>
        <w:trHeight w:val="412"/>
      </w:trPr>
      <w:tc>
        <w:tcPr>
          <w:tcW w:w="1555" w:type="dxa"/>
          <w:vMerge w:val="restart"/>
        </w:tcPr>
        <w:p w14:paraId="296C0718" w14:textId="77777777" w:rsidR="006824D0" w:rsidRPr="006824D0" w:rsidRDefault="006824D0" w:rsidP="006824D0">
          <w:pPr>
            <w:tabs>
              <w:tab w:val="center" w:pos="4419"/>
              <w:tab w:val="right" w:pos="8838"/>
            </w:tabs>
            <w:rPr>
              <w:rFonts w:ascii="Calibri" w:eastAsia="Calibri" w:hAnsi="Calibri" w:cs="Times New Roman"/>
            </w:rPr>
          </w:pPr>
          <w:r w:rsidRPr="006824D0">
            <w:rPr>
              <w:rFonts w:ascii="Calibri" w:eastAsia="Times New Roman" w:hAnsi="Calibri" w:cs="Calibri"/>
              <w:noProof/>
              <w:color w:val="000000"/>
              <w:lang w:eastAsia="es-MX"/>
            </w:rPr>
            <w:drawing>
              <wp:inline distT="0" distB="0" distL="0" distR="0" wp14:anchorId="40BDFCFB" wp14:editId="539EF0BE">
                <wp:extent cx="752475" cy="466725"/>
                <wp:effectExtent l="0" t="0" r="9525" b="9525"/>
                <wp:docPr id="4" name="Imagen 4">
                  <a:extLst xmlns:a="http://schemas.openxmlformats.org/drawingml/2006/main">
                    <a:ext uri="{FF2B5EF4-FFF2-40B4-BE49-F238E27FC236}">
                      <a16:creationId xmlns:a16="http://schemas.microsoft.com/office/drawing/2014/main" id="{48921B7D-8787-432B-ADE1-660C954B6F1F}"/>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48921B7D-8787-432B-ADE1-660C954B6F1F}"/>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 cy="466725"/>
                        </a:xfrm>
                        <a:prstGeom prst="rect">
                          <a:avLst/>
                        </a:prstGeom>
                        <a:noFill/>
                        <a:ln>
                          <a:noFill/>
                        </a:ln>
                      </pic:spPr>
                    </pic:pic>
                  </a:graphicData>
                </a:graphic>
              </wp:inline>
            </w:drawing>
          </w:r>
        </w:p>
      </w:tc>
      <w:tc>
        <w:tcPr>
          <w:tcW w:w="7273" w:type="dxa"/>
        </w:tcPr>
        <w:p w14:paraId="3058E429" w14:textId="77777777" w:rsidR="006824D0" w:rsidRPr="006824D0" w:rsidRDefault="006824D0" w:rsidP="006824D0">
          <w:pPr>
            <w:tabs>
              <w:tab w:val="center" w:pos="4419"/>
              <w:tab w:val="right" w:pos="8838"/>
            </w:tabs>
            <w:jc w:val="center"/>
            <w:rPr>
              <w:rFonts w:ascii="Calibri" w:eastAsia="Calibri" w:hAnsi="Calibri" w:cs="Times New Roman"/>
              <w:b/>
              <w:bCs/>
            </w:rPr>
          </w:pPr>
          <w:r w:rsidRPr="006824D0">
            <w:rPr>
              <w:rFonts w:ascii="Calibri" w:eastAsia="Calibri" w:hAnsi="Calibri" w:cs="Times New Roman"/>
              <w:b/>
              <w:bCs/>
            </w:rPr>
            <w:t>DEFINICIÓN Y DIAGNÓSTICO DEL PROBLEMA</w:t>
          </w:r>
        </w:p>
      </w:tc>
    </w:tr>
    <w:tr w:rsidR="006824D0" w:rsidRPr="006824D0" w14:paraId="0162A76F" w14:textId="77777777" w:rsidTr="00DB7F10">
      <w:tc>
        <w:tcPr>
          <w:tcW w:w="1555" w:type="dxa"/>
          <w:vMerge/>
        </w:tcPr>
        <w:p w14:paraId="7058FC37" w14:textId="77777777" w:rsidR="006824D0" w:rsidRPr="006824D0" w:rsidRDefault="006824D0" w:rsidP="006824D0">
          <w:pPr>
            <w:tabs>
              <w:tab w:val="center" w:pos="4419"/>
              <w:tab w:val="right" w:pos="8838"/>
            </w:tabs>
            <w:rPr>
              <w:rFonts w:ascii="Calibri" w:eastAsia="Calibri" w:hAnsi="Calibri" w:cs="Times New Roman"/>
            </w:rPr>
          </w:pPr>
        </w:p>
      </w:tc>
      <w:tc>
        <w:tcPr>
          <w:tcW w:w="7273" w:type="dxa"/>
        </w:tcPr>
        <w:p w14:paraId="20D0B2A8" w14:textId="77777777" w:rsidR="006824D0" w:rsidRPr="006824D0" w:rsidRDefault="006824D0" w:rsidP="006824D0">
          <w:pPr>
            <w:tabs>
              <w:tab w:val="center" w:pos="4419"/>
              <w:tab w:val="right" w:pos="8838"/>
            </w:tabs>
            <w:jc w:val="center"/>
            <w:rPr>
              <w:rFonts w:ascii="Calibri" w:eastAsia="Calibri" w:hAnsi="Calibri" w:cs="Times New Roman"/>
              <w:b/>
              <w:bCs/>
            </w:rPr>
          </w:pPr>
          <w:r w:rsidRPr="006824D0">
            <w:rPr>
              <w:rFonts w:ascii="Calibri" w:eastAsia="Calibri" w:hAnsi="Calibri" w:cs="Times New Roman"/>
              <w:b/>
              <w:bCs/>
            </w:rPr>
            <w:t>COMISIÓN ESTATAL DE LOS DERECHOS HUMANOS DE SINALOA</w:t>
          </w:r>
        </w:p>
      </w:tc>
    </w:tr>
  </w:tbl>
  <w:p w14:paraId="11D1A61A" w14:textId="77777777" w:rsidR="006824D0" w:rsidRDefault="006824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198B"/>
    <w:multiLevelType w:val="hybridMultilevel"/>
    <w:tmpl w:val="4572B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C44A4D"/>
    <w:multiLevelType w:val="hybridMultilevel"/>
    <w:tmpl w:val="7AE2C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88924459">
    <w:abstractNumId w:val="0"/>
  </w:num>
  <w:num w:numId="2" w16cid:durableId="1873565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D0"/>
    <w:rsid w:val="00311F6B"/>
    <w:rsid w:val="00333BB7"/>
    <w:rsid w:val="003D1715"/>
    <w:rsid w:val="006824D0"/>
    <w:rsid w:val="007375C4"/>
    <w:rsid w:val="00EA2719"/>
    <w:rsid w:val="00FA7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931D"/>
  <w15:chartTrackingRefBased/>
  <w15:docId w15:val="{600E48EC-AF24-447B-980E-316A5503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2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82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824D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824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824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824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24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24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24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4D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824D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824D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824D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824D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824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24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24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24D0"/>
    <w:rPr>
      <w:rFonts w:eastAsiaTheme="majorEastAsia" w:cstheme="majorBidi"/>
      <w:color w:val="272727" w:themeColor="text1" w:themeTint="D8"/>
    </w:rPr>
  </w:style>
  <w:style w:type="paragraph" w:styleId="Ttulo">
    <w:name w:val="Title"/>
    <w:basedOn w:val="Normal"/>
    <w:next w:val="Normal"/>
    <w:link w:val="TtuloCar"/>
    <w:uiPriority w:val="10"/>
    <w:qFormat/>
    <w:rsid w:val="00682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24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24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24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24D0"/>
    <w:pPr>
      <w:spacing w:before="160"/>
      <w:jc w:val="center"/>
    </w:pPr>
    <w:rPr>
      <w:i/>
      <w:iCs/>
      <w:color w:val="404040" w:themeColor="text1" w:themeTint="BF"/>
    </w:rPr>
  </w:style>
  <w:style w:type="character" w:customStyle="1" w:styleId="CitaCar">
    <w:name w:val="Cita Car"/>
    <w:basedOn w:val="Fuentedeprrafopredeter"/>
    <w:link w:val="Cita"/>
    <w:uiPriority w:val="29"/>
    <w:rsid w:val="006824D0"/>
    <w:rPr>
      <w:i/>
      <w:iCs/>
      <w:color w:val="404040" w:themeColor="text1" w:themeTint="BF"/>
    </w:rPr>
  </w:style>
  <w:style w:type="paragraph" w:styleId="Prrafodelista">
    <w:name w:val="List Paragraph"/>
    <w:basedOn w:val="Normal"/>
    <w:uiPriority w:val="34"/>
    <w:qFormat/>
    <w:rsid w:val="006824D0"/>
    <w:pPr>
      <w:ind w:left="720"/>
      <w:contextualSpacing/>
    </w:pPr>
  </w:style>
  <w:style w:type="character" w:styleId="nfasisintenso">
    <w:name w:val="Intense Emphasis"/>
    <w:basedOn w:val="Fuentedeprrafopredeter"/>
    <w:uiPriority w:val="21"/>
    <w:qFormat/>
    <w:rsid w:val="006824D0"/>
    <w:rPr>
      <w:i/>
      <w:iCs/>
      <w:color w:val="2F5496" w:themeColor="accent1" w:themeShade="BF"/>
    </w:rPr>
  </w:style>
  <w:style w:type="paragraph" w:styleId="Citadestacada">
    <w:name w:val="Intense Quote"/>
    <w:basedOn w:val="Normal"/>
    <w:next w:val="Normal"/>
    <w:link w:val="CitadestacadaCar"/>
    <w:uiPriority w:val="30"/>
    <w:qFormat/>
    <w:rsid w:val="00682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824D0"/>
    <w:rPr>
      <w:i/>
      <w:iCs/>
      <w:color w:val="2F5496" w:themeColor="accent1" w:themeShade="BF"/>
    </w:rPr>
  </w:style>
  <w:style w:type="character" w:styleId="Referenciaintensa">
    <w:name w:val="Intense Reference"/>
    <w:basedOn w:val="Fuentedeprrafopredeter"/>
    <w:uiPriority w:val="32"/>
    <w:qFormat/>
    <w:rsid w:val="006824D0"/>
    <w:rPr>
      <w:b/>
      <w:bCs/>
      <w:smallCaps/>
      <w:color w:val="2F5496" w:themeColor="accent1" w:themeShade="BF"/>
      <w:spacing w:val="5"/>
    </w:rPr>
  </w:style>
  <w:style w:type="table" w:styleId="Tablaconcuadrcula">
    <w:name w:val="Table Grid"/>
    <w:basedOn w:val="Tablanormal"/>
    <w:uiPriority w:val="39"/>
    <w:rsid w:val="006824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824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4D0"/>
  </w:style>
  <w:style w:type="paragraph" w:styleId="Piedepgina">
    <w:name w:val="footer"/>
    <w:basedOn w:val="Normal"/>
    <w:link w:val="PiedepginaCar"/>
    <w:uiPriority w:val="99"/>
    <w:unhideWhenUsed/>
    <w:rsid w:val="006824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5311D0-375C-409C-B682-D9B9D8008EB4}" type="doc">
      <dgm:prSet loTypeId="urn:microsoft.com/office/officeart/2005/8/layout/equation1" loCatId="process" qsTypeId="urn:microsoft.com/office/officeart/2005/8/quickstyle/simple1" qsCatId="simple" csTypeId="urn:microsoft.com/office/officeart/2005/8/colors/accent1_1" csCatId="accent1" phldr="1"/>
      <dgm:spPr/>
    </dgm:pt>
    <dgm:pt modelId="{0DFA7583-4EA3-4D62-BB26-5E9E309E8716}">
      <dgm:prSet phldrT="[Texto]" custT="1"/>
      <dgm:spPr>
        <a:xfrm>
          <a:off x="922" y="143351"/>
          <a:ext cx="1222920" cy="1222920"/>
        </a:xfrm>
        <a:prstGeom prst="ellipse">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s-MX" sz="1000">
              <a:solidFill>
                <a:sysClr val="windowText" lastClr="000000">
                  <a:hueOff val="0"/>
                  <a:satOff val="0"/>
                  <a:lumOff val="0"/>
                  <a:alphaOff val="0"/>
                </a:sysClr>
              </a:solidFill>
              <a:latin typeface="Calibri" panose="020F0502020204030204"/>
              <a:ea typeface="+mn-ea"/>
              <a:cs typeface="+mn-cs"/>
            </a:rPr>
            <a:t>Población objetivo o área de enfoque</a:t>
          </a:r>
        </a:p>
      </dgm:t>
    </dgm:pt>
    <dgm:pt modelId="{53FF903F-63F2-4022-BA1E-75BED0EDDA7D}" type="parTrans" cxnId="{7D70BD60-E0E7-4790-BABD-C02FFB455742}">
      <dgm:prSet/>
      <dgm:spPr/>
      <dgm:t>
        <a:bodyPr/>
        <a:lstStyle/>
        <a:p>
          <a:endParaRPr lang="es-MX" sz="1000"/>
        </a:p>
      </dgm:t>
    </dgm:pt>
    <dgm:pt modelId="{C10C04F9-D55C-4B86-8934-62FD26E4DA74}" type="sibTrans" cxnId="{7D70BD60-E0E7-4790-BABD-C02FFB455742}">
      <dgm:prSet custT="1"/>
      <dgm:spPr>
        <a:xfrm>
          <a:off x="1323144" y="400164"/>
          <a:ext cx="709294" cy="709294"/>
        </a:xfrm>
        <a:prstGeom prst="mathPlus">
          <a:avLst/>
        </a:prstGeom>
        <a:solidFill>
          <a:srgbClr val="4472C4">
            <a:tint val="60000"/>
            <a:hueOff val="0"/>
            <a:satOff val="0"/>
            <a:lumOff val="0"/>
            <a:alphaOff val="0"/>
          </a:srgbClr>
        </a:solidFill>
        <a:ln>
          <a:noFill/>
        </a:ln>
        <a:effectLst/>
      </dgm:spPr>
      <dgm:t>
        <a:bodyPr/>
        <a:lstStyle/>
        <a:p>
          <a:pPr>
            <a:buNone/>
          </a:pPr>
          <a:endParaRPr lang="es-MX" sz="1000">
            <a:solidFill>
              <a:sysClr val="windowText" lastClr="000000">
                <a:hueOff val="0"/>
                <a:satOff val="0"/>
                <a:lumOff val="0"/>
                <a:alphaOff val="0"/>
              </a:sysClr>
            </a:solidFill>
            <a:latin typeface="Calibri" panose="020F0502020204030204"/>
            <a:ea typeface="+mn-ea"/>
            <a:cs typeface="+mn-cs"/>
          </a:endParaRPr>
        </a:p>
      </dgm:t>
    </dgm:pt>
    <dgm:pt modelId="{C01C4119-5229-462B-A633-EEB21248BA53}">
      <dgm:prSet phldrT="[Texto]" custT="1"/>
      <dgm:spPr>
        <a:xfrm>
          <a:off x="2131739" y="143351"/>
          <a:ext cx="1222920" cy="1222920"/>
        </a:xfrm>
        <a:prstGeom prst="ellipse">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s-MX" sz="1000">
              <a:solidFill>
                <a:sysClr val="windowText" lastClr="000000">
                  <a:hueOff val="0"/>
                  <a:satOff val="0"/>
                  <a:lumOff val="0"/>
                  <a:alphaOff val="0"/>
                </a:sysClr>
              </a:solidFill>
              <a:latin typeface="Calibri" panose="020F0502020204030204"/>
              <a:ea typeface="+mn-ea"/>
              <a:cs typeface="+mn-cs"/>
            </a:rPr>
            <a:t>Descripción de la problemática que les afecta</a:t>
          </a:r>
        </a:p>
      </dgm:t>
    </dgm:pt>
    <dgm:pt modelId="{E6ECC408-D7F5-482B-8F9A-F2760E085B0B}" type="parTrans" cxnId="{B3FABDA6-935B-46DB-8B10-57A66461DBDE}">
      <dgm:prSet/>
      <dgm:spPr/>
      <dgm:t>
        <a:bodyPr/>
        <a:lstStyle/>
        <a:p>
          <a:endParaRPr lang="es-MX" sz="1000"/>
        </a:p>
      </dgm:t>
    </dgm:pt>
    <dgm:pt modelId="{4C35927A-6960-4E7F-8DDC-878B32DA9946}" type="sibTrans" cxnId="{B3FABDA6-935B-46DB-8B10-57A66461DBDE}">
      <dgm:prSet custT="1"/>
      <dgm:spPr>
        <a:xfrm>
          <a:off x="3453961" y="400164"/>
          <a:ext cx="709294" cy="709294"/>
        </a:xfrm>
        <a:prstGeom prst="mathEqual">
          <a:avLst/>
        </a:prstGeom>
        <a:solidFill>
          <a:srgbClr val="4472C4">
            <a:tint val="60000"/>
            <a:hueOff val="0"/>
            <a:satOff val="0"/>
            <a:lumOff val="0"/>
            <a:alphaOff val="0"/>
          </a:srgbClr>
        </a:solidFill>
        <a:ln>
          <a:noFill/>
        </a:ln>
        <a:effectLst/>
      </dgm:spPr>
      <dgm:t>
        <a:bodyPr/>
        <a:lstStyle/>
        <a:p>
          <a:pPr>
            <a:buNone/>
          </a:pPr>
          <a:endParaRPr lang="es-MX" sz="1000">
            <a:solidFill>
              <a:sysClr val="windowText" lastClr="000000">
                <a:hueOff val="0"/>
                <a:satOff val="0"/>
                <a:lumOff val="0"/>
                <a:alphaOff val="0"/>
              </a:sysClr>
            </a:solidFill>
            <a:latin typeface="Calibri" panose="020F0502020204030204"/>
            <a:ea typeface="+mn-ea"/>
            <a:cs typeface="+mn-cs"/>
          </a:endParaRPr>
        </a:p>
      </dgm:t>
    </dgm:pt>
    <dgm:pt modelId="{F42F16C2-F47D-41CB-A53D-74D028195831}">
      <dgm:prSet phldrT="[Texto]" custT="1"/>
      <dgm:spPr>
        <a:xfrm>
          <a:off x="4262556" y="143351"/>
          <a:ext cx="1222920" cy="1222920"/>
        </a:xfrm>
        <a:prstGeom prst="ellipse">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es-MX" sz="1000">
              <a:solidFill>
                <a:sysClr val="windowText" lastClr="000000">
                  <a:hueOff val="0"/>
                  <a:satOff val="0"/>
                  <a:lumOff val="0"/>
                  <a:alphaOff val="0"/>
                </a:sysClr>
              </a:solidFill>
              <a:latin typeface="Calibri" panose="020F0502020204030204"/>
              <a:ea typeface="+mn-ea"/>
              <a:cs typeface="+mn-cs"/>
            </a:rPr>
            <a:t>Problema central de un Pp</a:t>
          </a:r>
        </a:p>
      </dgm:t>
    </dgm:pt>
    <dgm:pt modelId="{896BD077-B06C-47E3-82FF-E395797FB926}" type="parTrans" cxnId="{CE9765E6-CDDC-4874-955C-F66D3ABF77FD}">
      <dgm:prSet/>
      <dgm:spPr/>
      <dgm:t>
        <a:bodyPr/>
        <a:lstStyle/>
        <a:p>
          <a:endParaRPr lang="es-MX" sz="1000"/>
        </a:p>
      </dgm:t>
    </dgm:pt>
    <dgm:pt modelId="{05987862-B9B6-4104-AF88-16FB84DAE255}" type="sibTrans" cxnId="{CE9765E6-CDDC-4874-955C-F66D3ABF77FD}">
      <dgm:prSet/>
      <dgm:spPr/>
      <dgm:t>
        <a:bodyPr/>
        <a:lstStyle/>
        <a:p>
          <a:endParaRPr lang="es-MX" sz="1000"/>
        </a:p>
      </dgm:t>
    </dgm:pt>
    <dgm:pt modelId="{32144997-1FC2-4A69-A687-7E560C8E5E40}" type="pres">
      <dgm:prSet presAssocID="{585311D0-375C-409C-B682-D9B9D8008EB4}" presName="linearFlow" presStyleCnt="0">
        <dgm:presLayoutVars>
          <dgm:dir/>
          <dgm:resizeHandles val="exact"/>
        </dgm:presLayoutVars>
      </dgm:prSet>
      <dgm:spPr/>
    </dgm:pt>
    <dgm:pt modelId="{47694699-AFC5-4FC6-A418-BBB4CD86CE70}" type="pres">
      <dgm:prSet presAssocID="{0DFA7583-4EA3-4D62-BB26-5E9E309E8716}" presName="node" presStyleLbl="node1" presStyleIdx="0" presStyleCnt="3">
        <dgm:presLayoutVars>
          <dgm:bulletEnabled val="1"/>
        </dgm:presLayoutVars>
      </dgm:prSet>
      <dgm:spPr/>
    </dgm:pt>
    <dgm:pt modelId="{F41AD0AF-F05C-40D6-B369-C768CB5F84BD}" type="pres">
      <dgm:prSet presAssocID="{C10C04F9-D55C-4B86-8934-62FD26E4DA74}" presName="spacerL" presStyleCnt="0"/>
      <dgm:spPr/>
    </dgm:pt>
    <dgm:pt modelId="{2ABC5ACD-4EEF-4F68-A1DB-2F08C2B2D1CF}" type="pres">
      <dgm:prSet presAssocID="{C10C04F9-D55C-4B86-8934-62FD26E4DA74}" presName="sibTrans" presStyleLbl="sibTrans2D1" presStyleIdx="0" presStyleCnt="2"/>
      <dgm:spPr/>
    </dgm:pt>
    <dgm:pt modelId="{EAD18196-16F1-4F6F-A3FE-BAE35CFBCA45}" type="pres">
      <dgm:prSet presAssocID="{C10C04F9-D55C-4B86-8934-62FD26E4DA74}" presName="spacerR" presStyleCnt="0"/>
      <dgm:spPr/>
    </dgm:pt>
    <dgm:pt modelId="{4ADA1647-EFA6-4437-A072-7B40B5ED8EE6}" type="pres">
      <dgm:prSet presAssocID="{C01C4119-5229-462B-A633-EEB21248BA53}" presName="node" presStyleLbl="node1" presStyleIdx="1" presStyleCnt="3">
        <dgm:presLayoutVars>
          <dgm:bulletEnabled val="1"/>
        </dgm:presLayoutVars>
      </dgm:prSet>
      <dgm:spPr/>
    </dgm:pt>
    <dgm:pt modelId="{7A6462D7-1B53-46AD-9B71-82D2EDC18C51}" type="pres">
      <dgm:prSet presAssocID="{4C35927A-6960-4E7F-8DDC-878B32DA9946}" presName="spacerL" presStyleCnt="0"/>
      <dgm:spPr/>
    </dgm:pt>
    <dgm:pt modelId="{69FAC3C0-679F-4921-8560-8E65949459AA}" type="pres">
      <dgm:prSet presAssocID="{4C35927A-6960-4E7F-8DDC-878B32DA9946}" presName="sibTrans" presStyleLbl="sibTrans2D1" presStyleIdx="1" presStyleCnt="2"/>
      <dgm:spPr/>
    </dgm:pt>
    <dgm:pt modelId="{E345421F-130C-426A-99A7-02EA10648052}" type="pres">
      <dgm:prSet presAssocID="{4C35927A-6960-4E7F-8DDC-878B32DA9946}" presName="spacerR" presStyleCnt="0"/>
      <dgm:spPr/>
    </dgm:pt>
    <dgm:pt modelId="{1DE999C7-ECBC-4885-BD90-F1F7B8B1D5F7}" type="pres">
      <dgm:prSet presAssocID="{F42F16C2-F47D-41CB-A53D-74D028195831}" presName="node" presStyleLbl="node1" presStyleIdx="2" presStyleCnt="3">
        <dgm:presLayoutVars>
          <dgm:bulletEnabled val="1"/>
        </dgm:presLayoutVars>
      </dgm:prSet>
      <dgm:spPr/>
    </dgm:pt>
  </dgm:ptLst>
  <dgm:cxnLst>
    <dgm:cxn modelId="{B9A8F527-8CEE-44C3-81FC-FDA10BB4971C}" type="presOf" srcId="{C10C04F9-D55C-4B86-8934-62FD26E4DA74}" destId="{2ABC5ACD-4EEF-4F68-A1DB-2F08C2B2D1CF}" srcOrd="0" destOrd="0" presId="urn:microsoft.com/office/officeart/2005/8/layout/equation1"/>
    <dgm:cxn modelId="{0F93205B-23ED-46BC-B4F8-D9B67BD03458}" type="presOf" srcId="{C01C4119-5229-462B-A633-EEB21248BA53}" destId="{4ADA1647-EFA6-4437-A072-7B40B5ED8EE6}" srcOrd="0" destOrd="0" presId="urn:microsoft.com/office/officeart/2005/8/layout/equation1"/>
    <dgm:cxn modelId="{7D70BD60-E0E7-4790-BABD-C02FFB455742}" srcId="{585311D0-375C-409C-B682-D9B9D8008EB4}" destId="{0DFA7583-4EA3-4D62-BB26-5E9E309E8716}" srcOrd="0" destOrd="0" parTransId="{53FF903F-63F2-4022-BA1E-75BED0EDDA7D}" sibTransId="{C10C04F9-D55C-4B86-8934-62FD26E4DA74}"/>
    <dgm:cxn modelId="{44F9626C-5965-4C59-B927-D5C430B64D77}" type="presOf" srcId="{585311D0-375C-409C-B682-D9B9D8008EB4}" destId="{32144997-1FC2-4A69-A687-7E560C8E5E40}" srcOrd="0" destOrd="0" presId="urn:microsoft.com/office/officeart/2005/8/layout/equation1"/>
    <dgm:cxn modelId="{0CB10158-40A0-478F-A0E8-519588995543}" type="presOf" srcId="{F42F16C2-F47D-41CB-A53D-74D028195831}" destId="{1DE999C7-ECBC-4885-BD90-F1F7B8B1D5F7}" srcOrd="0" destOrd="0" presId="urn:microsoft.com/office/officeart/2005/8/layout/equation1"/>
    <dgm:cxn modelId="{31306979-4E89-488E-8C93-A443C8A0D860}" type="presOf" srcId="{0DFA7583-4EA3-4D62-BB26-5E9E309E8716}" destId="{47694699-AFC5-4FC6-A418-BBB4CD86CE70}" srcOrd="0" destOrd="0" presId="urn:microsoft.com/office/officeart/2005/8/layout/equation1"/>
    <dgm:cxn modelId="{B3FABDA6-935B-46DB-8B10-57A66461DBDE}" srcId="{585311D0-375C-409C-B682-D9B9D8008EB4}" destId="{C01C4119-5229-462B-A633-EEB21248BA53}" srcOrd="1" destOrd="0" parTransId="{E6ECC408-D7F5-482B-8F9A-F2760E085B0B}" sibTransId="{4C35927A-6960-4E7F-8DDC-878B32DA9946}"/>
    <dgm:cxn modelId="{19E0AABB-ABF4-4467-8C93-4A2A94FA517A}" type="presOf" srcId="{4C35927A-6960-4E7F-8DDC-878B32DA9946}" destId="{69FAC3C0-679F-4921-8560-8E65949459AA}" srcOrd="0" destOrd="0" presId="urn:microsoft.com/office/officeart/2005/8/layout/equation1"/>
    <dgm:cxn modelId="{CE9765E6-CDDC-4874-955C-F66D3ABF77FD}" srcId="{585311D0-375C-409C-B682-D9B9D8008EB4}" destId="{F42F16C2-F47D-41CB-A53D-74D028195831}" srcOrd="2" destOrd="0" parTransId="{896BD077-B06C-47E3-82FF-E395797FB926}" sibTransId="{05987862-B9B6-4104-AF88-16FB84DAE255}"/>
    <dgm:cxn modelId="{F980A20E-8167-40D5-8B32-C4B99AB411F2}" type="presParOf" srcId="{32144997-1FC2-4A69-A687-7E560C8E5E40}" destId="{47694699-AFC5-4FC6-A418-BBB4CD86CE70}" srcOrd="0" destOrd="0" presId="urn:microsoft.com/office/officeart/2005/8/layout/equation1"/>
    <dgm:cxn modelId="{3E16F073-EE82-41DD-828E-C9EB23CFC8FA}" type="presParOf" srcId="{32144997-1FC2-4A69-A687-7E560C8E5E40}" destId="{F41AD0AF-F05C-40D6-B369-C768CB5F84BD}" srcOrd="1" destOrd="0" presId="urn:microsoft.com/office/officeart/2005/8/layout/equation1"/>
    <dgm:cxn modelId="{C896E2AD-D95B-447C-962A-2F1A025074D6}" type="presParOf" srcId="{32144997-1FC2-4A69-A687-7E560C8E5E40}" destId="{2ABC5ACD-4EEF-4F68-A1DB-2F08C2B2D1CF}" srcOrd="2" destOrd="0" presId="urn:microsoft.com/office/officeart/2005/8/layout/equation1"/>
    <dgm:cxn modelId="{DEDD0621-BD5F-4E7A-8D1E-A3D602FB7B3F}" type="presParOf" srcId="{32144997-1FC2-4A69-A687-7E560C8E5E40}" destId="{EAD18196-16F1-4F6F-A3FE-BAE35CFBCA45}" srcOrd="3" destOrd="0" presId="urn:microsoft.com/office/officeart/2005/8/layout/equation1"/>
    <dgm:cxn modelId="{DA057964-E10D-4F8E-8ADB-0D262F37BEDC}" type="presParOf" srcId="{32144997-1FC2-4A69-A687-7E560C8E5E40}" destId="{4ADA1647-EFA6-4437-A072-7B40B5ED8EE6}" srcOrd="4" destOrd="0" presId="urn:microsoft.com/office/officeart/2005/8/layout/equation1"/>
    <dgm:cxn modelId="{2FC39B90-17AB-4E5D-ADBB-DA9B569B15D1}" type="presParOf" srcId="{32144997-1FC2-4A69-A687-7E560C8E5E40}" destId="{7A6462D7-1B53-46AD-9B71-82D2EDC18C51}" srcOrd="5" destOrd="0" presId="urn:microsoft.com/office/officeart/2005/8/layout/equation1"/>
    <dgm:cxn modelId="{312EAA98-5C00-40D9-9079-6E871D070D02}" type="presParOf" srcId="{32144997-1FC2-4A69-A687-7E560C8E5E40}" destId="{69FAC3C0-679F-4921-8560-8E65949459AA}" srcOrd="6" destOrd="0" presId="urn:microsoft.com/office/officeart/2005/8/layout/equation1"/>
    <dgm:cxn modelId="{21208C1C-08D5-4B68-A784-ECED74653B83}" type="presParOf" srcId="{32144997-1FC2-4A69-A687-7E560C8E5E40}" destId="{E345421F-130C-426A-99A7-02EA10648052}" srcOrd="7" destOrd="0" presId="urn:microsoft.com/office/officeart/2005/8/layout/equation1"/>
    <dgm:cxn modelId="{191B6DFA-C2FC-4709-96BB-C1AE5EABDE00}" type="presParOf" srcId="{32144997-1FC2-4A69-A687-7E560C8E5E40}" destId="{1DE999C7-ECBC-4885-BD90-F1F7B8B1D5F7}" srcOrd="8" destOrd="0" presId="urn:microsoft.com/office/officeart/2005/8/layout/equatio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694699-AFC5-4FC6-A418-BBB4CD86CE70}">
      <dsp:nvSpPr>
        <dsp:cNvPr id="0" name=""/>
        <dsp:cNvSpPr/>
      </dsp:nvSpPr>
      <dsp:spPr>
        <a:xfrm>
          <a:off x="922" y="143351"/>
          <a:ext cx="1222920" cy="1222920"/>
        </a:xfrm>
        <a:prstGeom prst="ellipse">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s-MX" sz="1000" kern="1200">
              <a:solidFill>
                <a:sysClr val="windowText" lastClr="000000">
                  <a:hueOff val="0"/>
                  <a:satOff val="0"/>
                  <a:lumOff val="0"/>
                  <a:alphaOff val="0"/>
                </a:sysClr>
              </a:solidFill>
              <a:latin typeface="Calibri" panose="020F0502020204030204"/>
              <a:ea typeface="+mn-ea"/>
              <a:cs typeface="+mn-cs"/>
            </a:rPr>
            <a:t>Población objetivo o área de enfoque</a:t>
          </a:r>
        </a:p>
      </dsp:txBody>
      <dsp:txXfrm>
        <a:off x="180014" y="322443"/>
        <a:ext cx="864736" cy="864736"/>
      </dsp:txXfrm>
    </dsp:sp>
    <dsp:sp modelId="{2ABC5ACD-4EEF-4F68-A1DB-2F08C2B2D1CF}">
      <dsp:nvSpPr>
        <dsp:cNvPr id="0" name=""/>
        <dsp:cNvSpPr/>
      </dsp:nvSpPr>
      <dsp:spPr>
        <a:xfrm>
          <a:off x="1323144" y="400164"/>
          <a:ext cx="709294" cy="709294"/>
        </a:xfrm>
        <a:prstGeom prst="mathPlus">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s-MX" sz="1000" kern="1200">
            <a:solidFill>
              <a:sysClr val="windowText" lastClr="000000">
                <a:hueOff val="0"/>
                <a:satOff val="0"/>
                <a:lumOff val="0"/>
                <a:alphaOff val="0"/>
              </a:sysClr>
            </a:solidFill>
            <a:latin typeface="Calibri" panose="020F0502020204030204"/>
            <a:ea typeface="+mn-ea"/>
            <a:cs typeface="+mn-cs"/>
          </a:endParaRPr>
        </a:p>
      </dsp:txBody>
      <dsp:txXfrm>
        <a:off x="1417161" y="671398"/>
        <a:ext cx="521260" cy="166826"/>
      </dsp:txXfrm>
    </dsp:sp>
    <dsp:sp modelId="{4ADA1647-EFA6-4437-A072-7B40B5ED8EE6}">
      <dsp:nvSpPr>
        <dsp:cNvPr id="0" name=""/>
        <dsp:cNvSpPr/>
      </dsp:nvSpPr>
      <dsp:spPr>
        <a:xfrm>
          <a:off x="2131739" y="143351"/>
          <a:ext cx="1222920" cy="1222920"/>
        </a:xfrm>
        <a:prstGeom prst="ellipse">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s-MX" sz="1000" kern="1200">
              <a:solidFill>
                <a:sysClr val="windowText" lastClr="000000">
                  <a:hueOff val="0"/>
                  <a:satOff val="0"/>
                  <a:lumOff val="0"/>
                  <a:alphaOff val="0"/>
                </a:sysClr>
              </a:solidFill>
              <a:latin typeface="Calibri" panose="020F0502020204030204"/>
              <a:ea typeface="+mn-ea"/>
              <a:cs typeface="+mn-cs"/>
            </a:rPr>
            <a:t>Descripción de la problemática que les afecta</a:t>
          </a:r>
        </a:p>
      </dsp:txBody>
      <dsp:txXfrm>
        <a:off x="2310831" y="322443"/>
        <a:ext cx="864736" cy="864736"/>
      </dsp:txXfrm>
    </dsp:sp>
    <dsp:sp modelId="{69FAC3C0-679F-4921-8560-8E65949459AA}">
      <dsp:nvSpPr>
        <dsp:cNvPr id="0" name=""/>
        <dsp:cNvSpPr/>
      </dsp:nvSpPr>
      <dsp:spPr>
        <a:xfrm>
          <a:off x="3453961" y="400164"/>
          <a:ext cx="709294" cy="709294"/>
        </a:xfrm>
        <a:prstGeom prst="mathEqual">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s-MX" sz="1000" kern="1200">
            <a:solidFill>
              <a:sysClr val="windowText" lastClr="000000">
                <a:hueOff val="0"/>
                <a:satOff val="0"/>
                <a:lumOff val="0"/>
                <a:alphaOff val="0"/>
              </a:sysClr>
            </a:solidFill>
            <a:latin typeface="Calibri" panose="020F0502020204030204"/>
            <a:ea typeface="+mn-ea"/>
            <a:cs typeface="+mn-cs"/>
          </a:endParaRPr>
        </a:p>
      </dsp:txBody>
      <dsp:txXfrm>
        <a:off x="3547978" y="546279"/>
        <a:ext cx="521260" cy="417064"/>
      </dsp:txXfrm>
    </dsp:sp>
    <dsp:sp modelId="{1DE999C7-ECBC-4885-BD90-F1F7B8B1D5F7}">
      <dsp:nvSpPr>
        <dsp:cNvPr id="0" name=""/>
        <dsp:cNvSpPr/>
      </dsp:nvSpPr>
      <dsp:spPr>
        <a:xfrm>
          <a:off x="4262556" y="143351"/>
          <a:ext cx="1222920" cy="1222920"/>
        </a:xfrm>
        <a:prstGeom prst="ellipse">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s-MX" sz="1000" kern="1200">
              <a:solidFill>
                <a:sysClr val="windowText" lastClr="000000">
                  <a:hueOff val="0"/>
                  <a:satOff val="0"/>
                  <a:lumOff val="0"/>
                  <a:alphaOff val="0"/>
                </a:sysClr>
              </a:solidFill>
              <a:latin typeface="Calibri" panose="020F0502020204030204"/>
              <a:ea typeface="+mn-ea"/>
              <a:cs typeface="+mn-cs"/>
            </a:rPr>
            <a:t>Problema central de un Pp</a:t>
          </a:r>
        </a:p>
      </dsp:txBody>
      <dsp:txXfrm>
        <a:off x="4441648" y="322443"/>
        <a:ext cx="864736" cy="864736"/>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2278</Words>
  <Characters>12535</Characters>
  <Application>Microsoft Office Word</Application>
  <DocSecurity>0</DocSecurity>
  <Lines>104</Lines>
  <Paragraphs>29</Paragraphs>
  <ScaleCrop>false</ScaleCrop>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Comision Estatal de Derechos Humanos</dc:creator>
  <cp:keywords/>
  <dc:description/>
  <cp:lastModifiedBy>Comision Estatal de Derechos Humanos</cp:lastModifiedBy>
  <cp:revision>1</cp:revision>
  <dcterms:created xsi:type="dcterms:W3CDTF">2025-12-18T16:51:00Z</dcterms:created>
  <dcterms:modified xsi:type="dcterms:W3CDTF">2025-12-18T16:53:00Z</dcterms:modified>
</cp:coreProperties>
</file>